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A6" w:rsidRDefault="00B861A6" w:rsidP="00311F14">
      <w:pPr>
        <w:rPr>
          <w:sz w:val="20"/>
        </w:rPr>
      </w:pPr>
      <w:r>
        <w:rPr>
          <w:rFonts w:ascii="Tahoma" w:hAnsi="Tahoma" w:cs="Tahoma"/>
          <w:b/>
          <w:bCs/>
          <w:noProof/>
          <w:sz w:val="20"/>
          <w:szCs w:val="20"/>
        </w:rPr>
      </w:r>
      <w:r w:rsidR="00493237" w:rsidRPr="00B861A6">
        <w:rPr>
          <w:sz w:val="20"/>
        </w:rPr>
        <w:pict>
          <v:group id="_x0000_s1026" editas="orgchart" style="width:774pt;height:477pt;mso-position-horizontal-relative:char;mso-position-vertical-relative:line" coordorigin="576,576" coordsize="15480,9540">
            <o:lock v:ext="edit" aspectratio="t"/>
            <o:diagram v:ext="edit" dgmstyle="0" dgmscalex="37582" dgmscaley="36955" dgmfontsize="6" constrainbounds="0,0,0,0" autolayout="f">
              <o:relationtable v:ext="edit">
                <o:rel v:ext="edit" idsrc="#_s1074" iddest="#_s1074"/>
                <o:rel v:ext="edit" idsrc="#_s1075" iddest="#_s1074" idcntr="#_s1073"/>
                <o:rel v:ext="edit" idsrc="#_s1076" iddest="#_s1075" idcntr="#_s1072"/>
                <o:rel v:ext="edit" idsrc="#_s1086" iddest="#_s1075" idcntr="#_s1062"/>
                <o:rel v:ext="edit" idsrc="#_s1077" iddest="#_s1076" idcntr="#_s1071"/>
                <o:rel v:ext="edit" idsrc="#_s1119" iddest="#_s1086" idcntr="#_s1035"/>
                <o:rel v:ext="edit" idsrc="#_s1078" iddest="#_s1077" idcntr="#_s1070"/>
                <o:rel v:ext="edit" idsrc="#_s1079" iddest="#_s1077" idcntr="#_s1069"/>
                <o:rel v:ext="edit" idsrc="#_s1120" iddest="#_s1119" idcntr="#_s1034"/>
                <o:rel v:ext="edit" idsrc="#_s1080" iddest="#_s1079" idcntr="#_s1068"/>
                <o:rel v:ext="edit" idsrc="#_s1085" iddest="#_s1079" idcntr="#_s1063"/>
                <o:rel v:ext="edit" idsrc="#_s1084" iddest="#_s1079" idcntr="#_s1064"/>
                <o:rel v:ext="edit" idsrc="#_s1121" iddest="#_s1120" idcntr="#_s1033"/>
                <o:rel v:ext="edit" idsrc="#_s1081" iddest="#_s1080" idcntr="#_s1067"/>
                <o:rel v:ext="edit" idsrc="#_s1082" iddest="#_s1080" idcntr="#_s1066"/>
                <o:rel v:ext="edit" idsrc="#_s1083" iddest="#_s1080" idcntr="#_s1065"/>
                <o:rel v:ext="edit" idsrc="#_s1122" iddest="#_s1121" idcntr="#_s1032"/>
                <o:rel v:ext="edit" idsrc="#_s1087" iddest="#_s1081" idcntr="#_s1061"/>
                <o:rel v:ext="edit" idsrc="#_s1088" iddest="#_s1081" idcntr="#_s1060"/>
                <o:rel v:ext="edit" idsrc="#_s1089" iddest="#_s1082" idcntr="#_s1059"/>
                <o:rel v:ext="edit" idsrc="#_s1090" iddest="#_s1082" idcntr="#_s1058"/>
                <o:rel v:ext="edit" idsrc="#_s1091" iddest="#_s1082" idcntr="#_s1057"/>
                <o:rel v:ext="edit" idsrc="#_s1092" iddest="#_s1083" idcntr="#_s1056"/>
                <o:rel v:ext="edit" idsrc="#_s1093" iddest="#_s1083" idcntr="#_s1055"/>
                <o:rel v:ext="edit" idsrc="#_s1123" iddest="#_s1122" idcntr="#_s1031"/>
                <o:rel v:ext="edit" idsrc="#_s1094" iddest="#_s1087" idcntr="#_s1054"/>
                <o:rel v:ext="edit" idsrc="#_s1095" iddest="#_s1087" idcntr="#_s1053"/>
                <o:rel v:ext="edit" idsrc="#_s1096" iddest="#_s1087" idcntr="#_s1052"/>
                <o:rel v:ext="edit" idsrc="#_s1097" iddest="#_s1087" idcntr="#_s1051"/>
                <o:rel v:ext="edit" idsrc="#_s1098" iddest="#_s1087" idcntr="#_s1050"/>
                <o:rel v:ext="edit" idsrc="#_s1099" iddest="#_s1087" idcntr="#_s1049"/>
                <o:rel v:ext="edit" idsrc="#_s1100" iddest="#_s1088" idcntr="#_s1048"/>
                <o:rel v:ext="edit" idsrc="#_s1101" iddest="#_s1088" idcntr="#_s1047"/>
                <o:rel v:ext="edit" idsrc="#_s1102" iddest="#_s1088" idcntr="#_s1046"/>
                <o:rel v:ext="edit" idsrc="#_s1103" iddest="#_s1092" idcntr="#_s1045"/>
                <o:rel v:ext="edit" idsrc="#_s1104" iddest="#_s1092" idcntr="#_s1044"/>
                <o:rel v:ext="edit" idsrc="#_s1105" iddest="#_s1092" idcntr="#_s1043"/>
                <o:rel v:ext="edit" idsrc="#_s1106" iddest="#_s1092" idcntr="#_s1042"/>
                <o:rel v:ext="edit" idsrc="#_s1107" iddest="#_s1092" idcntr="#_s1041"/>
                <o:rel v:ext="edit" idsrc="#_s1108" iddest="#_s1092" idcntr="#_s1040"/>
                <o:rel v:ext="edit" idsrc="#_s1114" iddest="#_s1093" idcntr="#_s1039"/>
                <o:rel v:ext="edit" idsrc="#_s1115" iddest="#_s1093" idcntr="#_s1038"/>
                <o:rel v:ext="edit" idsrc="#_s1116" iddest="#_s1093" idcntr="#_s1037"/>
                <o:rel v:ext="edit" idsrc="#_s1117" iddest="#_s1093" idcntr="#_s1036"/>
                <o:rel v:ext="edit" idsrc="#_s1124" iddest="#_s1123" idcntr="#_s1030"/>
                <o:rel v:ext="edit" idsrc="#_s1126" iddest="#_s1102" idcntr="#_s1028"/>
                <o:rel v:ext="edit" idsrc="#_s1125" iddest="#_s1124" idcntr="#_s102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76;top:576;width:15480;height:9540" o:preferrelative="f">
              <v:fill o:detectmouseclick="t"/>
              <v:path o:extrusionok="t" o:connecttype="none"/>
              <o:lock v:ext="edit" text="t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s1028" o:spid="_x0000_s1028" type="#_x0000_t35" style="position:absolute;left:5616;top:7416;width:619;height:450;rotation:180;flip:x" o:connectortype="elbow" adj="-6281,17280,195935" stroked="f" strokeweight="2.25pt"/>
            <v:shape id="_s1029" o:spid="_x0000_s1029" type="#_x0000_t35" style="position:absolute;left:756;top:6832;width:620;height:563;rotation:180;flip:x" o:connectortype="elbow" adj="-6271,14694,26826" stroked="f" strokeweight="2.25pt"/>
            <v:shape id="_s1030" o:spid="_x0000_s1030" type="#_x0000_t35" style="position:absolute;left:756;top:6067;width:620;height:563;rotation:180;flip:x" o:connectortype="elbow" adj="-6271,14694,26861" stroked="f" strokeweight="2.25pt"/>
            <v:shape id="_s1031" o:spid="_x0000_s1031" type="#_x0000_t35" style="position:absolute;left:756;top:5302;width:620;height:563;rotation:180;flip:x" o:connectortype="elbow" adj="-6271,14694,26826" stroked="f" strokeweight="2.25pt"/>
            <v:shape id="_s1032" o:spid="_x0000_s1032" type="#_x0000_t35" style="position:absolute;left:756;top:4581;width:620;height:519;rotation:180;flip:x" o:connectortype="elbow" adj="-6271,15024,26338" stroked="f" strokeweight="2.25pt"/>
            <v:shape id="_s1033" o:spid="_x0000_s1033" type="#_x0000_t35" style="position:absolute;left:756;top:3996;width:620;height:383;rotation:180;flip:x" o:connectortype="elbow" adj="-6271,16524,26338" stroked="f" strokeweight="2.25pt"/>
            <v:shape id="_s1034" o:spid="_x0000_s1034" type="#_x0000_t35" style="position:absolute;left:756;top:3096;width:620;height:586;rotation:180;flip:x" o:connectortype="elbow" adj="-6271,16587,26338" stroked="f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35" o:spid="_x0000_s1035" type="#_x0000_t32" style="position:absolute;left:1197;top:2421;width:360;height:1;rotation:270" o:connectortype="elbow" adj="-82560,-1,-82560" stroked="f" strokeweight="2.25pt"/>
            <v:shape id="_s1036" o:spid="_x0000_s1036" type="#_x0000_t35" style="position:absolute;left:13716;top:5436;width:620;height:967;rotation:180;flip:x" o:connectortype="elbow" adj=",14072,477813" stroked="f" strokeweight="2.25pt"/>
            <v:shape id="_s1037" o:spid="_x0000_s1037" type="#_x0000_t35" style="position:absolute;left:13716;top:5302;width:620;height:3127;rotation:180;flip:x" o:connectortype="elbow" adj="-6271,11812,477848" stroked="f" strokecolor="silver" strokeweight=".5pt"/>
            <v:shape id="_s1038" o:spid="_x0000_s1038" type="#_x0000_t35" style="position:absolute;left:13716;top:5302;width:620;height:2384;rotation:180;flip:x" o:connectortype="elbow" adj="-6271,12023,477848" stroked="f" strokecolor="silver" strokeweight=".5pt"/>
            <v:shape id="_s1039" o:spid="_x0000_s1039" type="#_x0000_t35" style="position:absolute;left:13716;top:5436;width:620;height:1934;rotation:180;flip:x" o:connectortype="elbow" adj="-6271,12810,477813" stroked="f" strokecolor="silver" strokeweight=".5pt"/>
            <v:shape id="_s1040" o:spid="_x0000_s1040" type="#_x0000_t35" style="position:absolute;left:11196;top:5302;width:439;height:3397;rotation:180;flip:x" o:connectortype="elbow" adj="-8856,11445,550825" stroked="f" strokecolor="silver" strokeweight=".5pt"/>
            <v:shape id="_s1041" o:spid="_x0000_s1041" type="#_x0000_t35" style="position:absolute;left:11196;top:5302;width:439;height:2857;rotation:180;flip:x" o:connectortype="elbow" adj="-8856,11567,550825" stroked="f" strokecolor="silver" strokeweight=".5p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42" o:spid="_x0000_s1042" type="#_x0000_t33" style="position:absolute;left:11196;top:5256;width:207;height:2233;rotation:180" o:connectortype="elbow" adj="-1201565,-72326,-1201565" stroked="f" strokecolor="silver" strokeweight=".5pt"/>
            <v:shape id="_s1043" o:spid="_x0000_s1043" type="#_x0000_t35" style="position:absolute;left:11196;top:5302;width:439;height:1417;rotation:180;flip:x" o:connectortype="elbow" adj="-8856,12347,550825" stroked="f" strokecolor="silver" strokeweight=".5pt"/>
            <v:shape id="_s1044" o:spid="_x0000_s1044" type="#_x0000_t35" style="position:absolute;left:11196;top:5302;width:439;height:877;rotation:180;flip:x" o:connectortype="elbow" adj="-8856,13300,550825" stroked="f" strokecolor="silver" strokeweight=".5pt"/>
            <v:shape id="_s1045" o:spid="_x0000_s1045" type="#_x0000_t35" style="position:absolute;left:11196;top:4536;width:1440;height:1103;rotation:180;flip:x" o:connectortype="elbow" adj="-2700,28650,167925" stroked="f" strokecolor="silver" strokeweight=".5pt"/>
            <v:shape id="_s1046" o:spid="_x0000_s1046" type="#_x0000_t35" style="position:absolute;left:5616;top:5245;width:327;height:1901;rotation:180;flip:x" o:connectortype="elbow" adj="-11890,12328,370899" stroked="f" strokeweight="2.25pt"/>
            <v:shape id="_s1047" o:spid="_x0000_s1047" type="#_x0000_t35" style="position:absolute;left:5616;top:5245;width:327;height:1181;rotation:180;flip:x" o:connectortype="elbow" adj="-11890,13260,370899" stroked="f" strokeweight="2.25pt"/>
            <v:shape id="_s1048" o:spid="_x0000_s1048" type="#_x0000_t35" style="position:absolute;left:5616;top:5245;width:327;height:455;rotation:180;flip:x" o:connectortype="elbow" adj="-11890,17043,370899" stroked="f" strokeweight="2.25pt"/>
            <v:shape id="_s1049" o:spid="_x0000_s1049" type="#_x0000_t35" style="position:absolute;left:3816;top:5244;width:476;height:3275;rotation:180;flip:x" o:connectortype="elbow" adj="-8168,11469,173118" stroked="f" strokeweight="2.25pt"/>
            <v:shape id="_s1050" o:spid="_x0000_s1050" type="#_x0000_t35" style="position:absolute;left:3816;top:5244;width:476;height:2735;rotation:180;flip:x" o:connectortype="elbow" adj="-8168,11602,173118" stroked="f" strokeweight="2.25pt"/>
            <v:shape id="_s1051" o:spid="_x0000_s1051" type="#_x0000_t35" style="position:absolute;left:3816;top:5244;width:476;height:2195;rotation:180;flip:x" o:connectortype="elbow" adj="-8168,11799,173118" stroked="f" strokeweight="2.25pt"/>
            <v:shape id="_s1052" o:spid="_x0000_s1052" type="#_x0000_t35" style="position:absolute;left:3816;top:5244;width:476;height:1542;rotation:180;flip:x" o:connectortype="elbow" adj="-8168,12691,173118" stroked="f" strokeweight="2.25pt"/>
            <v:shape id="_s1053" o:spid="_x0000_s1053" type="#_x0000_t35" style="position:absolute;left:3816;top:5244;width:476;height:935;rotation:180;flip:x" o:connectortype="elbow" adj="-8168,13145,173118" stroked="f" strokeweight="2.25pt"/>
            <v:shape id="_s1054" o:spid="_x0000_s1054" type="#_x0000_t35" style="position:absolute;left:3816;top:5244;width:476;height:395;rotation:180;flip:x" o:connectortype="elbow" adj="-8168,16350,173118" stroked="f" strokeweight="2.25pt"/>
            <v:shape id="_s1055" o:spid="_x0000_s1055" type="#_x0000_t33" style="position:absolute;left:13299;top:4635;width:417;height:464;rotation:180" o:connectortype="elbow" adj="-710417,-237321,-710417" strokeweight="2.25pt"/>
            <v:shape id="_s1056" o:spid="_x0000_s1056" type="#_x0000_t33" style="position:absolute;left:12254;top:4635;width:1045;height:464;flip:y" o:connectortype="elbow" adj="-253268,237321,-253268" strokeweight="2.25pt"/>
            <v:shape id="_s1057" o:spid="_x0000_s1057" type="#_x0000_t33" style="position:absolute;left:8832;top:4635;width:207;height:1016;flip:y" o:connectortype="elbow" adj="-921496,120118,-921496" strokeweight="2.25pt"/>
            <v:shape id="_s1058" o:spid="_x0000_s1058" type="#_x0000_t33" style="position:absolute;left:9039;top:4635;width:206;height:407;rotation:180" o:connectortype="elbow" adj="-969274,-267532,-969274" strokeweight="2.25pt"/>
            <v:shape id="_s1059" o:spid="_x0000_s1059" type="#_x0000_t33" style="position:absolute;left:8832;top:4635;width:207;height:407;flip:y" o:connectortype="elbow" adj="-921496,267532,-921496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60" o:spid="_x0000_s1060" type="#_x0000_t34" style="position:absolute;left:5428;top:4325;width:203;height:826;rotation:270;flip:x" o:connectortype="elbow" adj="10747,126514,-632252" strokeweight="2.25pt"/>
            <v:shape id="_s1061" o:spid="_x0000_s1061" type="#_x0000_t34" style="position:absolute;left:4603;top:4325;width:203;height:825;rotation:270" o:connectortype="elbow" adj="10747,-126668,-456579" strokeweight="2.25pt"/>
            <v:shape id="_s1062" o:spid="_x0000_s1062" type="#_x0000_t34" style="position:absolute;left:2024;top:943;width:245;height:1542;rotation:270" o:connectortype="elbow" adj="10756,-25704,-121224" strokeweight="2.25pt"/>
            <v:shape id="_s1063" o:spid="_x0000_s1063" type="#_x0000_t33" style="position:absolute;left:7225;top:3321;width:1194;height:5984;rotation:180" o:connectortype="elbow" adj="-152557,-33588,-152557" stroked="f" strokeweight="2.25pt"/>
            <v:shape id="_s1064" o:spid="_x0000_s1064" type="#_x0000_t33" style="position:absolute;left:7225;top:3321;width:1194;height:6593;rotation:180" o:connectortype="elbow" adj="-152557,-32480,-152557" stroked="f" strokeweight="2.25pt"/>
            <v:shape id="_s1065" o:spid="_x0000_s1065" type="#_x0000_t34" style="position:absolute;left:11209;top:2139;width:548;height:3633;rotation:270;flip:x" o:connectortype="elbow" adj="7095,25167,-524312" strokeweight="2.25pt"/>
            <v:shape id="_s1066" o:spid="_x0000_s1066" type="#_x0000_t34" style="position:absolute;left:9079;top:3642;width:548;height:627;rotation:270" o:connectortype="elbow" adj="7095,-145826,-356400" strokeweight="2.25pt"/>
            <v:shape id="_s1067" o:spid="_x0000_s1067" type="#_x0000_t34" style="position:absolute;left:7118;top:1681;width:548;height:4549;rotation:270" o:connectortype="elbow" adj="7095,-20100,-201810" strokeweight="2.25pt"/>
            <v:shape id="_s1068" o:spid="_x0000_s1068" type="#_x0000_t33" style="position:absolute;left:7225;top:3321;width:1451;height:158;rotation:180" o:connectortype="elbow" adj="-129198,-476020,-129198" strokeweight="2.25pt"/>
            <v:shape id="_s1069" o:spid="_x0000_s1069" type="#_x0000_t34" style="position:absolute;left:5769;top:1459;width:134;height:2779;rotation:270;flip:x" o:connectortype="elbow" adj=",22665,-1166884" strokeweight="2.25pt"/>
            <v:shape id="_s1070" o:spid="_x0000_s1070" type="#_x0000_t34" style="position:absolute;left:4194;top:2663;width:134;height:371;rotation:270" o:connectortype="elbow" adj=",-169773,-659122" strokeweight="2.25pt"/>
            <v:shape id="_s1071" o:spid="_x0000_s1071" type="#_x0000_t35" style="position:absolute;left:3456;top:2241;width:620;height:338;rotation:180;flip:x" o:connectortype="elbow" adj="-6271,17318,120368" strokeweight="2.25pt"/>
            <v:shape id="_s1072" o:spid="_x0000_s1072" type="#_x0000_t34" style="position:absolute;left:3374;top:1135;width:245;height:1158;rotation:270;flip:x" o:connectortype="elbow" adj="10756,34228,-359265" strokeweight="2.25pt"/>
            <v:shape id="_s1073" o:spid="_x0000_s1073" type="#_x0000_t33" style="position:absolute;left:4536;top:982;width:3780;height:406;flip:y" o:connectortype="elbow" adj="-25914,73791,-25914" strokeweight="2.25pt"/>
            <v:roundrect id="_s1074" o:spid="_x0000_s1074" style="position:absolute;left:576;top:576;width:15480;height:406;v-text-anchor:middle" arcsize="10923f" o:dgmlayout="1" o:dgmnodekind="1" o:dgmlayoutmru="1" fillcolor="silver">
              <v:textbox style="mso-next-textbox:#_s1074" inset="0,0,0,0">
                <w:txbxContent>
                  <w:p w:rsidR="00B861A6" w:rsidRPr="006F498D" w:rsidRDefault="00B861A6" w:rsidP="0000670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F498D">
                      <w:rPr>
                        <w:b/>
                        <w:sz w:val="20"/>
                        <w:szCs w:val="20"/>
                      </w:rPr>
                      <w:t>ŘÍZENÍ BEZPEČNOSTI V ÚZEMÍ</w:t>
                    </w:r>
                  </w:p>
                </w:txbxContent>
              </v:textbox>
            </v:roundrect>
            <v:roundrect id="_s1075" o:spid="_x0000_s1075" style="position:absolute;left:1299;top:1185;width:3237;height:406;v-text-anchor:middle" arcsize="10923f" o:dgmlayout="0" o:dgmnodekind="0" fillcolor="#fc9">
              <v:textbox style="mso-next-textbox:#_s1075" inset="0,0,0,0">
                <w:txbxContent>
                  <w:p w:rsidR="00B861A6" w:rsidRPr="0000670E" w:rsidRDefault="0000670E" w:rsidP="00B861A6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0670E">
                      <w:rPr>
                        <w:sz w:val="16"/>
                        <w:szCs w:val="16"/>
                      </w:rPr>
                      <w:t>INTEGRÁLNÍ ZBYTKOVÉ RIZIKO</w:t>
                    </w:r>
                  </w:p>
                </w:txbxContent>
              </v:textbox>
            </v:roundrect>
            <v:roundrect id="_s1076" o:spid="_x0000_s1076" style="position:absolute;left:3456;top:1836;width:1239;height:405;v-text-anchor:middle" arcsize="10923f" o:dgmlayout="2" o:dgmnodekind="0" o:dgmlayoutmru="2" fillcolor="#fc9">
              <v:textbox style="mso-next-textbox:#_s1076" inset="0,0,0,0">
                <w:txbxContent>
                  <w:p w:rsidR="00B861A6" w:rsidRPr="00E00BED" w:rsidRDefault="00B861A6" w:rsidP="00B861A6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HODNOCENÍ BEZPEČNOSTI</w:t>
                    </w:r>
                  </w:p>
                </w:txbxContent>
              </v:textbox>
            </v:roundrect>
            <v:roundrect id="_s1077" o:spid="_x0000_s1077" style="position:absolute;left:3456;top:2376;width:1980;height:406;v-text-anchor:middle" arcsize="10923f" o:dgmlayout="0" o:dgmnodekind="0" o:dgmlayoutmru="0" fillcolor="#fc9">
              <v:textbox style="mso-next-textbox:#_s1077" inset="0,0,0,0">
                <w:txbxContent>
                  <w:p w:rsidR="00B861A6" w:rsidRPr="0000670E" w:rsidRDefault="00B861A6" w:rsidP="00B861A6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00670E">
                      <w:rPr>
                        <w:sz w:val="16"/>
                        <w:szCs w:val="16"/>
                      </w:rPr>
                      <w:t>ROZHODNUTÍ O BEZPEČNOSTI</w:t>
                    </w:r>
                  </w:p>
                </w:txbxContent>
              </v:textbox>
            </v:roundrect>
            <v:roundrect id="_s1078" o:spid="_x0000_s1078" style="position:absolute;left:3456;top:2916;width:1238;height:406;v-text-anchor:middle" arcsize="10923f" o:dgmlayout="2" o:dgmnodekind="0" fillcolor="#fc9">
              <v:textbox style="mso-next-textbox:#_s1078" inset="0,0,0,0">
                <w:txbxContent>
                  <w:p w:rsidR="00B861A6" w:rsidRPr="00E00BED" w:rsidRDefault="00B861A6" w:rsidP="00B861A6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PŘIJATELNÁ BEZPEČNOST</w:t>
                    </w:r>
                  </w:p>
                </w:txbxContent>
              </v:textbox>
            </v:roundrect>
            <v:roundrect id="_s1079" o:spid="_x0000_s1079" style="position:absolute;left:6516;top:2916;width:1418;height:405;v-text-anchor:middle" arcsize="10923f" o:dgmlayout="2" o:dgmnodekind="0" fillcolor="#fc9">
              <v:textbox style="mso-next-textbox:#_s1079" inset="0,0,0,0">
                <w:txbxContent>
                  <w:p w:rsidR="00B861A6" w:rsidRPr="00797BDE" w:rsidRDefault="00822406" w:rsidP="00797BD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NEPŘIJATELNÁ BEZPEČNOST</w:t>
                    </w:r>
                  </w:p>
                </w:txbxContent>
              </v:textbox>
            </v:roundrect>
            <v:roundrect id="_s1080" o:spid="_x0000_s1080" style="position:absolute;left:8676;top:3276;width:1980;height:406;v-text-anchor:middle" arcsize="10923f" o:dgmlayout="0" o:dgmnodekind="0" o:dgmlayoutmru="0" fillcolor="silver">
              <v:textbox style="mso-next-textbox:#_s1080" inset="0,0,0,0">
                <w:txbxContent>
                  <w:p w:rsidR="00B861A6" w:rsidRPr="00B45C04" w:rsidRDefault="00493237" w:rsidP="00B861A6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B45C04">
                      <w:rPr>
                        <w:b/>
                        <w:sz w:val="16"/>
                        <w:szCs w:val="16"/>
                      </w:rPr>
                      <w:t>ŘÍZENÍ DÍLČÍCH RIZIK OD POHROM</w:t>
                    </w:r>
                  </w:p>
                </w:txbxContent>
              </v:textbox>
            </v:roundrect>
            <v:roundrect id="_s1081" o:spid="_x0000_s1081" style="position:absolute;left:4498;top:4230;width:1238;height:406;v-text-anchor:middle" arcsize="10923f" o:dgmlayout="0" o:dgmnodekind="0" o:dgmlayoutmru="0" fillcolor="#bbe0e3">
              <v:textbox style="mso-next-textbox:#_s1081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STANOVENÍ RIZIKA</w:t>
                    </w:r>
                  </w:p>
                </w:txbxContent>
              </v:textbox>
            </v:roundrect>
            <v:roundrect id="_s1082" o:spid="_x0000_s1082" style="position:absolute;left:8420;top:4230;width:1238;height:405;v-text-anchor:middle" arcsize="10923f" o:dgmlayout="1" o:dgmnodekind="0" o:dgmlayoutmru="1" fillcolor="#bbe0e3">
              <v:textbox style="mso-next-textbox:#_s1082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ROZHODNUTÍ O RIZIKU</w:t>
                    </w:r>
                  </w:p>
                </w:txbxContent>
              </v:textbox>
            </v:roundrect>
            <v:roundrect id="_s1083" o:spid="_x0000_s1083" style="position:absolute;left:12341;top:4230;width:1915;height:405;v-text-anchor:middle" arcsize="10923f" o:dgmlayout="1" o:dgmnodekind="0" o:dgmlayoutmru="1" fillcolor="#bbe0e3">
              <v:textbox style="mso-next-textbox:#_s1083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ŘÍZENÍ A ZMÍRŇOVÁNÍ RIZIKA</w:t>
                    </w:r>
                  </w:p>
                </w:txbxContent>
              </v:textbox>
            </v:roundrect>
            <v:roundrect id="_s1084" o:spid="_x0000_s1084" style="position:absolute;left:8419;top:9711;width:1238;height:405;v-text-anchor:middle" arcsize="10923f" o:dgmlayout="0" o:dgmnodekind="0" fillcolor="#bbe0e3">
              <v:textbox style="mso-next-textbox:#_s1084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PŘIJATELNOST U VEŘEJNOSTI</w:t>
                    </w:r>
                  </w:p>
                </w:txbxContent>
              </v:textbox>
            </v:roundrect>
            <v:roundrect id="_s1085" o:spid="_x0000_s1085" style="position:absolute;left:8419;top:9102;width:1238;height:406;v-text-anchor:middle" arcsize="10923f" o:dgmlayout="0" o:dgmnodekind="0" fillcolor="#bbe0e3">
              <v:textbox style="mso-next-textbox:#_s1085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KOMUNIKACE</w:t>
                    </w:r>
                  </w:p>
                </w:txbxContent>
              </v:textbox>
            </v:roundrect>
            <v:roundrect id="_s1086" o:spid="_x0000_s1086" style="position:absolute;left:756;top:1836;width:1239;height:406;v-text-anchor:middle" arcsize="10923f" o:dgmlayout="0" o:dgmnodekind="0" fillcolor="#fc9">
              <v:textbox style="mso-next-textbox:#_s1086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MONITORING</w:t>
                    </w:r>
                  </w:p>
                </w:txbxContent>
              </v:textbox>
            </v:roundrect>
            <v:roundrect id="_s1087" o:spid="_x0000_s1087" style="position:absolute;left:3673;top:4839;width:1238;height:405;v-text-anchor:middle" arcsize="10923f" o:dgmlayout="2" o:dgmnodekind="0" fillcolor="#bbe0e3">
              <v:textbox style="mso-next-textbox:#_s1087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ANALÝZA RIZIK</w:t>
                    </w:r>
                  </w:p>
                </w:txbxContent>
              </v:textbox>
            </v:roundrect>
            <v:roundrect id="_s1088" o:spid="_x0000_s1088" style="position:absolute;left:5324;top:4839;width:1238;height:406;v-text-anchor:middle" arcsize="10923f" o:dgmlayout="2" o:dgmnodekind="0" fillcolor="#bbe0e3">
              <v:textbox style="mso-next-textbox:#_s1088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HODNOCENÍ RIZIK</w:t>
                    </w:r>
                  </w:p>
                </w:txbxContent>
              </v:textbox>
            </v:roundrect>
            <v:roundrect id="_s1089" o:spid="_x0000_s1089" style="position:absolute;left:7594;top:4839;width:1238;height:406;v-text-anchor:middle" arcsize="10923f" o:dgmlayout="2" o:dgmnodekind="0" fillcolor="#bbe0e3">
              <v:textbox style="mso-next-textbox:#_s1089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LEGISLATIVA</w:t>
                    </w:r>
                  </w:p>
                </w:txbxContent>
              </v:textbox>
            </v:roundrect>
            <v:roundrect id="_s1090" o:spid="_x0000_s1090" style="position:absolute;left:9245;top:4839;width:1238;height:406;v-text-anchor:middle" arcsize="10923f" o:dgmlayout="2" o:dgmnodekind="0" fillcolor="#bbe0e3">
              <v:textbox style="mso-next-textbox:#_s1090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ETIKA</w:t>
                    </w:r>
                  </w:p>
                </w:txbxContent>
              </v:textbox>
            </v:roundrect>
            <v:roundrect id="_s1091" o:spid="_x0000_s1091" style="position:absolute;left:7594;top:5448;width:1238;height:406;v-text-anchor:middle" arcsize="10923f" o:dgmlayout="2" o:dgmnodekind="0" fillcolor="#bbe0e3">
              <v:textbox style="mso-next-textbox:#_s1091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VEŘEJNÁ KONCEPCE</w:t>
                    </w:r>
                  </w:p>
                </w:txbxContent>
              </v:textbox>
            </v:roundrect>
            <v:roundrect id="_s1092" o:spid="_x0000_s1092" style="position:absolute;left:11016;top:4896;width:1238;height:406;v-text-anchor:middle" arcsize="10923f" o:dgmlayout="2" o:dgmnodekind="0" fillcolor="#bbe0e3">
              <v:textbox style="mso-next-textbox:#_s1092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REDUKCE RIZIKA</w:t>
                    </w:r>
                  </w:p>
                </w:txbxContent>
              </v:textbox>
            </v:roundrect>
            <v:roundrect id="_s1093" o:spid="_x0000_s1093" style="position:absolute;left:13716;top:4896;width:1239;height:406;v-text-anchor:middle" arcsize="10923f" o:dgmlayout="2" o:dgmnodekind="0" fillcolor="#bbe0e3">
              <v:textbox style="mso-next-textbox:#_s1093" inset="0,0,0,0">
                <w:txbxContent>
                  <w:p w:rsidR="00493237" w:rsidRPr="00E00BED" w:rsidRDefault="00493237" w:rsidP="0049323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ODEZVA A OBNOVA</w:t>
                    </w:r>
                  </w:p>
                </w:txbxContent>
              </v:textbox>
            </v:roundrect>
            <v:roundrect id="_s1094" o:spid="_x0000_s1094" style="position:absolute;left:3816;top:5436;width:1238;height:406;v-text-anchor:middle" arcsize="10923f" o:dgmlayout="2" o:dgmnodekind="0" filled="f" fillcolor="#bbe0e3">
              <v:textbox style="mso-next-textbox:#_s1094" inset="0,0,0,0">
                <w:txbxContent>
                  <w:p w:rsidR="00E00BED" w:rsidRPr="00E00BED" w:rsidRDefault="00E00BED" w:rsidP="00E00B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IDENTIFIKACE OHROŽENÍ</w:t>
                    </w:r>
                  </w:p>
                </w:txbxContent>
              </v:textbox>
            </v:roundrect>
            <v:roundrect id="_s1095" o:spid="_x0000_s1095" style="position:absolute;left:3816;top:5976;width:1238;height:406;v-text-anchor:middle" arcsize="10923f" o:dgmlayout="2" o:dgmnodekind="0" filled="f" fillcolor="#bbe0e3">
              <v:textbox style="mso-next-textbox:#_s1095" inset="0,0,0,0">
                <w:txbxContent>
                  <w:p w:rsidR="00E00BED" w:rsidRPr="00E00BED" w:rsidRDefault="00E00BED" w:rsidP="00E00B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VÝBĚR SCÉNÁŘE POHROMY</w:t>
                    </w:r>
                  </w:p>
                </w:txbxContent>
              </v:textbox>
            </v:roundrect>
            <v:roundrect id="_s1096" o:spid="_x0000_s1096" style="position:absolute;left:3816;top:6516;width:1620;height:540;v-text-anchor:middle" arcsize="10923f" o:dgmlayout="2" o:dgmnodekind="0" filled="f" fillcolor="#bbe0e3">
              <v:textbox style="mso-next-textbox:#_s1096" inset="0,0,0,0">
                <w:txbxContent>
                  <w:p w:rsidR="00E00BED" w:rsidRPr="00E00BED" w:rsidRDefault="00E00BED" w:rsidP="00E00B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797BDE">
                      <w:rPr>
                        <w:sz w:val="12"/>
                        <w:szCs w:val="12"/>
                      </w:rPr>
                      <w:t>ODHAD PRAVDĚPODOBNOSTI VÝSKYTU SCÉNÁŘE</w:t>
                    </w:r>
                  </w:p>
                </w:txbxContent>
              </v:textbox>
            </v:roundrect>
            <v:roundrect id="_s1097" o:spid="_x0000_s1097" style="position:absolute;left:3816;top:7236;width:1620;height:406;v-text-anchor:middle" arcsize="10923f" o:dgmlayout="2" o:dgmnodekind="0" filled="f" fillcolor="#bbe0e3">
              <v:textbox style="mso-next-textbox:#_s1097" inset="0,0,0,0">
                <w:txbxContent>
                  <w:p w:rsidR="00E00BED" w:rsidRPr="00E00BED" w:rsidRDefault="00E00BED" w:rsidP="00E00B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ODHAD ZRANITELNOSTI ÚZEMÍ</w:t>
                    </w:r>
                  </w:p>
                </w:txbxContent>
              </v:textbox>
            </v:roundrect>
            <v:roundrect id="_s1098" o:spid="_x0000_s1098" style="position:absolute;left:3816;top:7776;width:1620;height:406;v-text-anchor:middle" arcsize="10923f" o:dgmlayout="2" o:dgmnodekind="0" filled="f" fillcolor="#bbe0e3">
              <v:textbox style="mso-next-textbox:#_s1098" inset="0,0,0,0">
                <w:txbxContent>
                  <w:p w:rsidR="00E00BED" w:rsidRPr="00797BDE" w:rsidRDefault="00E00BED" w:rsidP="00E00BED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797BDE">
                      <w:rPr>
                        <w:sz w:val="12"/>
                        <w:szCs w:val="12"/>
                      </w:rPr>
                      <w:t>SOUBOR OČEKÁVANÝCH DOPADŮ</w:t>
                    </w:r>
                  </w:p>
                </w:txbxContent>
              </v:textbox>
            </v:roundrect>
            <v:roundrect id="_s1099" o:spid="_x0000_s1099" style="position:absolute;left:3816;top:8316;width:1238;height:406;v-text-anchor:middle" arcsize="10923f" o:dgmlayout="2" o:dgmnodekind="0" filled="f" fillcolor="#bbe0e3">
              <v:textbox style="mso-next-textbox:#_s1099" inset="0,0,0,0">
                <w:txbxContent>
                  <w:p w:rsidR="00E00BED" w:rsidRPr="00E00BED" w:rsidRDefault="00E00BED" w:rsidP="00E00B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E00BED">
                      <w:rPr>
                        <w:sz w:val="16"/>
                        <w:szCs w:val="16"/>
                      </w:rPr>
                      <w:t>ODHAD RIZIKA</w:t>
                    </w:r>
                  </w:p>
                </w:txbxContent>
              </v:textbox>
            </v:roundrect>
            <v:roundrect id="_s1100" o:spid="_x0000_s1100" style="position:absolute;left:5616;top:5436;width:1239;height:528;v-text-anchor:middle" arcsize="10923f" o:dgmlayout="2" o:dgmnodekind="0" filled="f" fillcolor="#bbe0e3">
              <v:textbox style="mso-next-textbox:#_s1100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KRITÉRIA PŘIJATELNOSTI RIZIKA</w:t>
                    </w:r>
                  </w:p>
                </w:txbxContent>
              </v:textbox>
            </v:roundrect>
            <v:roundrect id="_s1101" o:spid="_x0000_s1101" style="position:absolute;left:5616;top:6156;width:1238;height:540;v-text-anchor:middle" arcsize="10923f" o:dgmlayout="2" o:dgmnodekind="0" filled="f" fillcolor="#bbe0e3">
              <v:textbox style="mso-next-textbox:#_s1101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KRITICKÉ POSOUZENÍ</w:t>
                    </w:r>
                  </w:p>
                </w:txbxContent>
              </v:textbox>
            </v:roundrect>
            <v:roundrect id="_s1102" o:spid="_x0000_s1102" style="position:absolute;left:5616;top:6876;width:1238;height:540;v-text-anchor:middle" arcsize="10923f" o:dgmlayout="2" o:dgmnodekind="0" filled="f" fillcolor="#bbe0e3">
              <v:textbox style="mso-next-textbox:#_s1102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POUČENÍ PRO ROZHODNUTÍ</w:t>
                    </w:r>
                  </w:p>
                </w:txbxContent>
              </v:textbox>
            </v:roundrect>
            <v:roundrect id="_s1103" o:spid="_x0000_s1103" style="position:absolute;left:11196;top:5436;width:1238;height:406;v-text-anchor:middle" arcsize="10923f" o:dgmlayout="2" o:dgmnodekind="0" filled="f" fillcolor="#bbe0e3">
              <v:textbox style="mso-next-textbox:#_s1103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PREVENCE</w:t>
                    </w:r>
                  </w:p>
                </w:txbxContent>
              </v:textbox>
            </v:roundrect>
            <v:roundrect id="_s1104" o:spid="_x0000_s1104" style="position:absolute;left:11196;top:5976;width:1238;height:406;v-text-anchor:middle" arcsize="10923f" o:dgmlayout="2" o:dgmnodekind="0" filled="f" fillcolor="#bbe0e3">
              <v:textbox style="mso-next-textbox:#_s1104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OCHRANA A ZMÍRNĚNÍ</w:t>
                    </w:r>
                  </w:p>
                </w:txbxContent>
              </v:textbox>
            </v:roundrect>
            <v:roundrect id="_s1105" o:spid="_x0000_s1105" style="position:absolute;left:11196;top:6516;width:1238;height:406;v-text-anchor:middle" arcsize="10923f" o:dgmlayout="2" o:dgmnodekind="0" filled="f" fillcolor="#bbe0e3">
              <v:textbox style="mso-next-textbox:#_s1105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NOUZOVÉ PLÁNY</w:t>
                    </w:r>
                  </w:p>
                </w:txbxContent>
              </v:textbox>
            </v:roundrect>
            <v:roundrect id="_s1106" o:spid="_x0000_s1106" style="position:absolute;left:11196;top:7236;width:1238;height:406;v-text-anchor:middle" arcsize="10923f" o:dgmlayout="2" o:dgmnodekind="0" filled="f" fillcolor="#bbe0e3">
              <v:textbox style="mso-next-textbox:#_s1106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EVAKUAČNÍ PLÁNY</w:t>
                    </w:r>
                  </w:p>
                </w:txbxContent>
              </v:textbox>
            </v:roundrect>
            <v:roundrect id="_s1107" o:spid="_x0000_s1107" style="position:absolute;left:11196;top:7956;width:1238;height:406;v-text-anchor:middle" arcsize="10923f" o:dgmlayout="2" o:dgmnodekind="0" filled="f" fillcolor="#bbe0e3">
              <v:textbox style="mso-next-textbox:#_s1107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VAROVACÍ SYSTÉMY</w:t>
                    </w:r>
                  </w:p>
                </w:txbxContent>
              </v:textbox>
            </v:roundrect>
            <v:roundrect id="_s1108" o:spid="_x0000_s1108" style="position:absolute;left:11196;top:8496;width:1238;height:406;v-text-anchor:middle" arcsize="10923f" o:dgmlayout="2" o:dgmnodekind="0" filled="f" fillcolor="#bbe0e3">
              <v:textbox style="mso-next-textbox:#_s1108" inset="0,0,0,0">
                <w:txbxContent>
                  <w:p w:rsidR="00E00BED" w:rsidRPr="000A0940" w:rsidRDefault="00E00BED" w:rsidP="00E00BED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CVIČENÍ A VÝCVIK</w:t>
                    </w:r>
                  </w:p>
                </w:txbxContent>
              </v:textbox>
            </v:roundrect>
            <v:line id="_x0000_s1110" style="position:absolute" from="2016,2016" to="3456,2016">
              <v:stroke endarrow="block"/>
            </v:line>
            <v:line id="_x0000_s1111" style="position:absolute;flip:y" from="9036,5976" to="9036,9036">
              <v:stroke endarrow="block"/>
            </v:line>
            <v:line id="_x0000_s1112" style="position:absolute;flip:x y" from="6336,5076" to="9036,9036">
              <v:stroke endarrow="block"/>
            </v:line>
            <v:line id="_x0000_s1113" style="position:absolute;flip:y" from="9036,4536" to="12636,9036" strokeweight=".5pt">
              <v:stroke endarrow="block"/>
            </v:line>
            <v:roundrect id="_s1114" o:spid="_x0000_s1114" style="position:absolute;left:13716;top:6516;width:1239;height:720;v-text-anchor:middle" arcsize="10923f" o:dgmlayout="2" o:dgmnodekind="0" filled="f" fillcolor="#bbe0e3">
              <v:textbox style="mso-next-textbox:#_s1114" inset="0,0,0,0">
                <w:txbxContent>
                  <w:p w:rsidR="000A0940" w:rsidRPr="00797BDE" w:rsidRDefault="000A0940" w:rsidP="000A094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797BDE">
                      <w:rPr>
                        <w:sz w:val="16"/>
                        <w:szCs w:val="16"/>
                      </w:rPr>
                      <w:t>EVAKUACE</w:t>
                    </w:r>
                  </w:p>
                </w:txbxContent>
              </v:textbox>
            </v:roundrect>
            <v:roundrect id="_s1115" o:spid="_x0000_s1115" style="position:absolute;left:13716;top:7416;width:1239;height:540;v-text-anchor:middle" arcsize="10923f" o:dgmlayout="2" o:dgmnodekind="0" filled="f" fillcolor="#bbe0e3">
              <v:textbox style="mso-next-textbox:#_s1115" inset="0,0,0,0">
                <w:txbxContent>
                  <w:p w:rsidR="000A0940" w:rsidRPr="000A0940" w:rsidRDefault="000A0940" w:rsidP="000A0940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MATERIÁLNÍ POMOC A PODPORA</w:t>
                    </w:r>
                  </w:p>
                </w:txbxContent>
              </v:textbox>
            </v:roundrect>
            <v:roundrect id="_s1116" o:spid="_x0000_s1116" style="position:absolute;left:13716;top:8136;width:1239;height:585;v-text-anchor:middle" arcsize="10923f" o:dgmlayout="2" o:dgmnodekind="0" filled="f" fillcolor="#bbe0e3">
              <v:textbox style="mso-next-textbox:#_s1116" inset="0,0,0,0">
                <w:txbxContent>
                  <w:p w:rsidR="000A0940" w:rsidRPr="000A0940" w:rsidRDefault="000A0940" w:rsidP="000A0940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OBNOVA A POMOC PO POHROMĚ</w:t>
                    </w:r>
                  </w:p>
                </w:txbxContent>
              </v:textbox>
            </v:roundrect>
            <v:roundrect id="_s1117" o:spid="_x0000_s1117" style="position:absolute;left:13716;top:5616;width:1239;height:585;v-text-anchor:middle" arcsize="10923f" o:dgmlayout="2" o:dgmnodekind="0" filled="f" fillcolor="#bbe0e3">
              <v:textbox style="mso-next-textbox:#_s1117" inset="0,0,0,0">
                <w:txbxContent>
                  <w:p w:rsidR="000A0940" w:rsidRPr="000A0940" w:rsidRDefault="000A0940" w:rsidP="000A0940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0A0940">
                      <w:rPr>
                        <w:sz w:val="14"/>
                        <w:szCs w:val="14"/>
                      </w:rPr>
                      <w:t>NOUZOVÉ ČINNOSTI</w:t>
                    </w:r>
                  </w:p>
                </w:txbxContent>
              </v:textbox>
            </v:roundrect>
            <v:line id="_x0000_s1118" style="position:absolute;flip:x y" from="4536,1476" to="9216,3276">
              <v:stroke endarrow="block"/>
            </v:line>
            <v:roundrect id="_s1119" o:spid="_x0000_s1119" style="position:absolute;left:756;top:2602;width:1239;height:494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SBĚR  RELEVANTNÍCH DAT</w:t>
                    </w:r>
                  </w:p>
                </w:txbxContent>
              </v:textbox>
            </v:roundrect>
            <v:roundrect id="_s1120" o:spid="_x0000_s1120" style="position:absolute;left:756;top:3367;width:1239;height:629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SYSTÉM ZPRACOVÁNÍ A ŘÍZENÍ DATOVÝCH TOKŮ</w:t>
                    </w:r>
                  </w:p>
                </w:txbxContent>
              </v:textbox>
            </v:roundrect>
            <v:roundrect id="_s1121" o:spid="_x0000_s1121" style="position:absolute;left:756;top:4176;width:1239;height:405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ROZDĚLENÍ INFORMACÍ</w:t>
                    </w:r>
                  </w:p>
                </w:txbxContent>
              </v:textbox>
            </v:roundrect>
            <v:roundrect id="_s1122" o:spid="_x0000_s1122" style="position:absolute;left:756;top:4897;width:1239;height:405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DOKUMENTACE NA ZÁKLADĚ INFO</w:t>
                    </w:r>
                  </w:p>
                </w:txbxContent>
              </v:textbox>
            </v:roundrect>
            <v:roundrect id="_s1123" o:spid="_x0000_s1123" style="position:absolute;left:756;top:5662;width:1239;height:405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PODKLADY PRO ÚŘEDNÍ VÝKONY</w:t>
                    </w:r>
                  </w:p>
                </w:txbxContent>
              </v:textbox>
            </v:roundrect>
            <v:roundrect id="_s1124" o:spid="_x0000_s1124" style="position:absolute;left:756;top:6427;width:1239;height:405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PODKLADY  PRO PLÁNOVÁNÍ</w:t>
                    </w:r>
                  </w:p>
                </w:txbxContent>
              </v:textbox>
            </v:roundrect>
            <v:roundrect id="_s1125" o:spid="_x0000_s1125" style="position:absolute;left:756;top:7192;width:1239;height:405;v-text-anchor:middle" arcsize="10923f" o:dgmlayout="2" o:dgmnodekind="0" fillcolor="#ff9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HODNOCENÍ A PREDIKCE</w:t>
                    </w:r>
                  </w:p>
                </w:txbxContent>
              </v:textbox>
            </v:roundrect>
            <v:roundrect id="_s1126" o:spid="_x0000_s1126" style="position:absolute;left:5616;top:7596;width:1238;height:540;v-text-anchor:middle" arcsize="10923f" o:dgmlayout="2" o:dgmnodekind="0" filled="f" fillcolor="#bbe0e3">
              <v:textbox inset="0,0,0,0">
                <w:txbxContent>
                  <w:p w:rsidR="00187955" w:rsidRPr="00187955" w:rsidRDefault="00187955" w:rsidP="00187955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187955">
                      <w:rPr>
                        <w:sz w:val="16"/>
                        <w:szCs w:val="16"/>
                      </w:rPr>
                      <w:t>LEGISLATIVA</w:t>
                    </w:r>
                  </w:p>
                </w:txbxContent>
              </v:textbox>
            </v:roundrect>
            <v:shapetype id="_x0000_t61" coordsize="21600,21600" o:spt="61" adj="1350,25920" path="m,l0@8@12@24,0@9,,21600@6,21600@15@27@7,21600,21600,21600,21600@9@18@30,21600@8,21600,0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_x0000_s1127" type="#_x0000_t61" style="position:absolute;left:10116;top:576;width:3780;height:540" adj="-1286,9720">
              <v:textbox>
                <w:txbxContent>
                  <w:p w:rsidR="00540CAE" w:rsidRPr="00540CAE" w:rsidRDefault="00540CAE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540CAE">
                      <w:rPr>
                        <w:rFonts w:ascii="Tahoma" w:hAnsi="Tahoma" w:cs="Tahoma"/>
                        <w:sz w:val="14"/>
                        <w:szCs w:val="14"/>
                      </w:rPr>
                      <w:t>Pro-aktivní strategický nástroj, jehož cílem je zajištění přijatelné úrovně bezpečnosti a udržitelný rozvoj</w:t>
                    </w:r>
                  </w:p>
                </w:txbxContent>
              </v:textbox>
            </v:shape>
            <v:shape id="_x0000_s1130" type="#_x0000_t61" style="position:absolute;left:2196;top:3456;width:1440;height:1440" adj="-9000,-20070">
              <v:textbox>
                <w:txbxContent>
                  <w:p w:rsidR="00540CAE" w:rsidRPr="00540CAE" w:rsidRDefault="00540CAE" w:rsidP="00540CAE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540CAE">
                      <w:rPr>
                        <w:rFonts w:ascii="Tahoma" w:hAnsi="Tahoma" w:cs="Tahoma"/>
                        <w:sz w:val="14"/>
                        <w:szCs w:val="14"/>
                      </w:rPr>
                      <w:t>Specifický způsob sledování a vyhodnocování dat, které jsou podkladem pro rozhodnutí a scénáře</w:t>
                    </w:r>
                  </w:p>
                  <w:p w:rsidR="00540CAE" w:rsidRDefault="00540CAE"/>
                </w:txbxContent>
              </v:textbox>
            </v:shape>
            <v:shape id="_x0000_s1131" type="#_x0000_t61" style="position:absolute;left:10836;top:2556;width:1800;height:1260" adj="5448,41143">
              <v:textbox>
                <w:txbxContent>
                  <w:p w:rsidR="00540CAE" w:rsidRPr="00540CAE" w:rsidRDefault="00540CAE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Plánování a implementace opatření na snížení rizika a ochranu před rizikem pomocí nouzových a evakuačních plánů</w:t>
                    </w:r>
                  </w:p>
                </w:txbxContent>
              </v:textbox>
            </v:shape>
            <v:line id="_x0000_s1109" style="position:absolute;flip:x y" from="1477,2196" to="3456,3276">
              <v:stroke endarrow="block"/>
            </v:line>
            <v:shape id="_x0000_s1132" type="#_x0000_t61" style="position:absolute;left:14616;top:2196;width:1440;height:2520" adj="3045,24120">
              <v:textbox>
                <w:txbxContent>
                  <w:p w:rsidR="008E542B" w:rsidRPr="008E542B" w:rsidRDefault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Provedení souboru opatření ke zvládnutí nouzové situace</w:t>
                    </w:r>
                    <w:r w:rsidR="00BE60A1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a ke stabilitě území, likvidaci odstranitelných škod a nastartování dalšího rozvoje v rozumném čase a s přijatelnými náklady</w:t>
                    </w:r>
                  </w:p>
                </w:txbxContent>
              </v:textbox>
            </v:shape>
            <v:shape id="_x0000_s1128" type="#_x0000_t61" style="position:absolute;left:6516;top:1476;width:2340;height:720" adj="-20252,-2790">
              <v:textbox>
                <w:txbxContent>
                  <w:p w:rsidR="00540CAE" w:rsidRPr="00540CAE" w:rsidRDefault="00540CAE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540CAE">
                      <w:rPr>
                        <w:rFonts w:ascii="Tahoma" w:hAnsi="Tahoma" w:cs="Tahoma"/>
                        <w:sz w:val="14"/>
                        <w:szCs w:val="14"/>
                      </w:rPr>
                      <w:t>Součet integrovaných rizik, které nepřesáhnou referenční úroveň, tedy jsou přijatelná</w:t>
                    </w:r>
                  </w:p>
                </w:txbxContent>
              </v:textbox>
            </v:shape>
            <v:shape id="_x0000_s1133" type="#_x0000_t61" style="position:absolute;left:2196;top:5796;width:1524;height:1800;rotation:180" adj="-298,30935">
              <v:textbox>
                <w:txbxContent>
                  <w:p w:rsidR="008E542B" w:rsidRPr="008E542B" w:rsidRDefault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Vědecko-technická disciplína, jejíž cílem je podrobný rozbor všech identifikovaných scénářů pohrom včetně stanovení pravděpodobnosti jejich výskytu</w:t>
                    </w:r>
                  </w:p>
                </w:txbxContent>
              </v:textbox>
            </v:shape>
            <v:shape id="_x0000_s1134" type="#_x0000_t61" style="position:absolute;left:9396;top:1296;width:1260;height:1620" adj="-326,27480">
              <v:textbox>
                <w:txbxContent>
                  <w:p w:rsidR="008E542B" w:rsidRPr="008E542B" w:rsidRDefault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Optimální způsob snížení vyhodnocených rizik na společensky přijatelnou úroveň</w:t>
                    </w:r>
                  </w:p>
                </w:txbxContent>
              </v:textbox>
            </v:shape>
            <v:shape id="_x0000_s1135" type="#_x0000_t61" style="position:absolute;left:7056;top:6156;width:1440;height:1980;rotation:180" adj="31109,33905">
              <v:textbox>
                <w:txbxContent>
                  <w:p w:rsidR="008E542B" w:rsidRDefault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Získání podkladů pro rozhodnutí o riziku včetně kritérií pro přijatelnost rizika.</w:t>
                    </w:r>
                  </w:p>
                  <w:p w:rsidR="008E542B" w:rsidRDefault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</w:p>
                  <w:p w:rsidR="008E542B" w:rsidRDefault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Přijatelnost&lt;=1:</w:t>
                    </w:r>
                  </w:p>
                  <w:p w:rsidR="008E542B" w:rsidRPr="008E542B" w:rsidRDefault="008E542B" w:rsidP="008E542B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Škody x četnost / Náklady na opatření</w:t>
                    </w:r>
                  </w:p>
                </w:txbxContent>
              </v:textbox>
            </v:shape>
            <w10:anchorlock/>
          </v:group>
        </w:pict>
      </w:r>
    </w:p>
    <w:p w:rsidR="00DA26C8" w:rsidRDefault="00DA26C8"/>
    <w:sectPr w:rsidR="00DA26C8" w:rsidSect="00311F1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11F14"/>
    <w:rsid w:val="0000670E"/>
    <w:rsid w:val="000A0940"/>
    <w:rsid w:val="00187955"/>
    <w:rsid w:val="00235E4B"/>
    <w:rsid w:val="00311F14"/>
    <w:rsid w:val="00363E96"/>
    <w:rsid w:val="00493237"/>
    <w:rsid w:val="004E1398"/>
    <w:rsid w:val="00540CAE"/>
    <w:rsid w:val="006F498D"/>
    <w:rsid w:val="007217E4"/>
    <w:rsid w:val="00783996"/>
    <w:rsid w:val="00797BDE"/>
    <w:rsid w:val="00822406"/>
    <w:rsid w:val="00842357"/>
    <w:rsid w:val="008E542B"/>
    <w:rsid w:val="00A5506B"/>
    <w:rsid w:val="00A578B6"/>
    <w:rsid w:val="00AD59BD"/>
    <w:rsid w:val="00B45C04"/>
    <w:rsid w:val="00B861A6"/>
    <w:rsid w:val="00BB7D39"/>
    <w:rsid w:val="00BE60A1"/>
    <w:rsid w:val="00DA26C8"/>
    <w:rsid w:val="00E00BED"/>
    <w:rsid w:val="00E5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s1073">
          <o:proxy start="" idref="#_s1075" connectloc="3"/>
          <o:proxy end="" idref="#_s1074" connectloc="2"/>
        </o:r>
        <o:r id="V:Rule2" type="connector" idref="#_s1072">
          <o:proxy start="" idref="#_s1076" connectloc="0"/>
          <o:proxy end="" idref="#_s1075" connectloc="2"/>
        </o:r>
        <o:r id="V:Rule3" type="connector" idref="#_s1071">
          <o:proxy start="" idref="#_s1077" connectloc="1"/>
          <o:proxy end="" idref="#_s1076" connectloc="2"/>
        </o:r>
        <o:r id="V:Rule4" type="connector" idref="#_s1070">
          <o:proxy start="" idref="#_s1078" connectloc="0"/>
          <o:proxy end="" idref="#_s1077" connectloc="2"/>
        </o:r>
        <o:r id="V:Rule5" type="connector" idref="#_s1069">
          <o:proxy start="" idref="#_s1079" connectloc="0"/>
          <o:proxy end="" idref="#_s1077" connectloc="2"/>
        </o:r>
        <o:r id="V:Rule6" type="connector" idref="#_s1068">
          <o:proxy start="" idref="#_s1080" connectloc="1"/>
          <o:proxy end="" idref="#_s1079" connectloc="2"/>
        </o:r>
        <o:r id="V:Rule7" type="connector" idref="#_s1067">
          <o:proxy start="" idref="#_s1081" connectloc="0"/>
          <o:proxy end="" idref="#_s1080" connectloc="2"/>
        </o:r>
        <o:r id="V:Rule8" type="connector" idref="#_s1066">
          <o:proxy start="" idref="#_s1082" connectloc="0"/>
          <o:proxy end="" idref="#_s1080" connectloc="2"/>
        </o:r>
        <o:r id="V:Rule9" type="connector" idref="#_s1065">
          <o:proxy start="" idref="#_s1083" connectloc="0"/>
          <o:proxy end="" idref="#_s1080" connectloc="2"/>
        </o:r>
        <o:r id="V:Rule10" type="connector" idref="#_s1064">
          <o:proxy start="" idref="#_s1084" connectloc="1"/>
          <o:proxy end="" idref="#_s1079" connectloc="2"/>
        </o:r>
        <o:r id="V:Rule11" type="connector" idref="#_s1063">
          <o:proxy start="" idref="#_s1085" connectloc="1"/>
          <o:proxy end="" idref="#_s1079" connectloc="2"/>
        </o:r>
        <o:r id="V:Rule12" type="connector" idref="#_s1062">
          <o:proxy start="" idref="#_s1086" connectloc="0"/>
          <o:proxy end="" idref="#_s1075" connectloc="2"/>
        </o:r>
        <o:r id="V:Rule13" type="connector" idref="#_s1061">
          <o:proxy start="" idref="#_s1087" connectloc="0"/>
          <o:proxy end="" idref="#_s1081" connectloc="2"/>
        </o:r>
        <o:r id="V:Rule14" type="connector" idref="#_s1060">
          <o:proxy start="" idref="#_s1088" connectloc="0"/>
          <o:proxy end="" idref="#_s1081" connectloc="2"/>
        </o:r>
        <o:r id="V:Rule15" type="connector" idref="#_s1059">
          <o:proxy start="" idref="#_s1089" connectloc="3"/>
          <o:proxy end="" idref="#_s1082" connectloc="2"/>
        </o:r>
        <o:r id="V:Rule16" type="connector" idref="#_s1058">
          <o:proxy start="" idref="#_s1090" connectloc="1"/>
          <o:proxy end="" idref="#_s1082" connectloc="2"/>
        </o:r>
        <o:r id="V:Rule17" type="connector" idref="#_s1057">
          <o:proxy start="" idref="#_s1091" connectloc="3"/>
          <o:proxy end="" idref="#_s1082" connectloc="2"/>
        </o:r>
        <o:r id="V:Rule18" type="connector" idref="#_s1056">
          <o:proxy start="" idref="#_s1092" connectloc="3"/>
          <o:proxy end="" idref="#_s1083" connectloc="2"/>
        </o:r>
        <o:r id="V:Rule19" type="connector" idref="#_s1055">
          <o:proxy start="" idref="#_s1093" connectloc="1"/>
          <o:proxy end="" idref="#_s1083" connectloc="2"/>
        </o:r>
        <o:r id="V:Rule20" type="connector" idref="#_s1054">
          <o:proxy start="" idref="#_s1094" connectloc="1"/>
          <o:proxy end="" idref="#_s1087" connectloc="2"/>
        </o:r>
        <o:r id="V:Rule21" type="connector" idref="#_s1053">
          <o:proxy start="" idref="#_s1095" connectloc="1"/>
          <o:proxy end="" idref="#_s1087" connectloc="2"/>
        </o:r>
        <o:r id="V:Rule22" type="connector" idref="#_s1052">
          <o:proxy start="" idref="#_s1096" connectloc="1"/>
          <o:proxy end="" idref="#_s1087" connectloc="2"/>
        </o:r>
        <o:r id="V:Rule23" type="connector" idref="#_s1051">
          <o:proxy start="" idref="#_s1097" connectloc="1"/>
          <o:proxy end="" idref="#_s1087" connectloc="2"/>
        </o:r>
        <o:r id="V:Rule24" type="connector" idref="#_s1050">
          <o:proxy start="" idref="#_s1098" connectloc="1"/>
          <o:proxy end="" idref="#_s1087" connectloc="2"/>
        </o:r>
        <o:r id="V:Rule25" type="connector" idref="#_s1049">
          <o:proxy start="" idref="#_s1099" connectloc="1"/>
          <o:proxy end="" idref="#_s1087" connectloc="2"/>
        </o:r>
        <o:r id="V:Rule26" type="connector" idref="#_s1048">
          <o:proxy start="" idref="#_s1100" connectloc="1"/>
          <o:proxy end="" idref="#_s1088" connectloc="2"/>
        </o:r>
        <o:r id="V:Rule27" type="connector" idref="#_s1047">
          <o:proxy start="" idref="#_s1101" connectloc="1"/>
          <o:proxy end="" idref="#_s1088" connectloc="2"/>
        </o:r>
        <o:r id="V:Rule28" type="connector" idref="#_s1046">
          <o:proxy start="" idref="#_s1102" connectloc="1"/>
          <o:proxy end="" idref="#_s1088" connectloc="2"/>
        </o:r>
        <o:r id="V:Rule29" type="connector" idref="#_s1045">
          <o:proxy start="" idref="#_s1103" connectloc="1"/>
          <o:proxy end="" idref="#_x0000_s1113" connectloc="1"/>
        </o:r>
        <o:r id="V:Rule30" type="connector" idref="#_s1044">
          <o:proxy start="" idref="#_s1104" connectloc="1"/>
          <o:proxy end="" idref="#_s1092" connectloc="2"/>
        </o:r>
        <o:r id="V:Rule31" type="connector" idref="#_s1043">
          <o:proxy start="" idref="#_s1105" connectloc="1"/>
          <o:proxy end="" idref="#_s1092" connectloc="2"/>
        </o:r>
        <o:r id="V:Rule32" type="connector" idref="#_s1042"/>
        <o:r id="V:Rule33" type="connector" idref="#_s1041">
          <o:proxy start="" idref="#_s1107" connectloc="1"/>
          <o:proxy end="" idref="#_s1092" connectloc="2"/>
        </o:r>
        <o:r id="V:Rule34" type="connector" idref="#_s1040">
          <o:proxy start="" idref="#_s1108" connectloc="1"/>
          <o:proxy end="" idref="#_s1092" connectloc="2"/>
        </o:r>
        <o:r id="V:Rule35" type="connector" idref="#_s1039"/>
        <o:r id="V:Rule36" type="connector" idref="#_s1038">
          <o:proxy start="" idref="#_s1115" connectloc="1"/>
          <o:proxy end="" idref="#_s1093" connectloc="2"/>
        </o:r>
        <o:r id="V:Rule37" type="connector" idref="#_s1037">
          <o:proxy start="" idref="#_s1116" connectloc="1"/>
          <o:proxy end="" idref="#_s1093" connectloc="2"/>
        </o:r>
        <o:r id="V:Rule38" type="connector" idref="#_s1036"/>
        <o:r id="V:Rule39" type="connector" idref="#_s1035">
          <o:proxy start="" idref="#_s1119" connectloc="0"/>
          <o:proxy end="" idref="#_s1086" connectloc="2"/>
        </o:r>
        <o:r id="V:Rule40" type="connector" idref="#_s1034">
          <o:proxy start="" idref="#_s1120" connectloc="1"/>
          <o:proxy end="" idref="#_s1119" connectloc="2"/>
        </o:r>
        <o:r id="V:Rule41" type="connector" idref="#_s1033">
          <o:proxy start="" idref="#_s1121" connectloc="1"/>
          <o:proxy end="" idref="#_s1120" connectloc="2"/>
        </o:r>
        <o:r id="V:Rule42" type="connector" idref="#_s1032">
          <o:proxy start="" idref="#_s1122" connectloc="1"/>
          <o:proxy end="" idref="#_s1121" connectloc="2"/>
        </o:r>
        <o:r id="V:Rule43" type="connector" idref="#_s1031">
          <o:proxy start="" idref="#_s1123" connectloc="1"/>
          <o:proxy end="" idref="#_s1122" connectloc="2"/>
        </o:r>
        <o:r id="V:Rule44" type="connector" idref="#_s1030">
          <o:proxy start="" idref="#_s1124" connectloc="1"/>
          <o:proxy end="" idref="#_s1123" connectloc="2"/>
        </o:r>
        <o:r id="V:Rule45" type="connector" idref="#_s1029">
          <o:proxy start="" idref="#_s1125" connectloc="1"/>
          <o:proxy end="" idref="#_s1124" connectloc="2"/>
        </o:r>
        <o:r id="V:Rule46" type="connector" idref="#_s1028">
          <o:proxy start="" idref="#_s1126" connectloc="1"/>
          <o:proxy end="" idref="#_s1102" connectloc="2"/>
        </o:r>
        <o:r id="V:Rule48" type="callout" idref="#_x0000_s1127"/>
        <o:r id="V:Rule50" type="callout" idref="#_x0000_s1128"/>
        <o:r id="V:Rule54" type="callout" idref="#_x0000_s1130"/>
        <o:r id="V:Rule56" type="callout" idref="#_x0000_s1131"/>
        <o:r id="V:Rule58" type="callout" idref="#_x0000_s1132"/>
        <o:r id="V:Rule60" type="callout" idref="#_x0000_s1133"/>
        <o:r id="V:Rule62" type="callout" idref="#_x0000_s1134"/>
        <o:r id="V:Rule64" type="callout" idref="#_x0000_s11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F1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UZSVM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Karin Plincnerová</dc:creator>
  <cp:keywords/>
  <dc:description/>
  <cp:lastModifiedBy>Karin Plincnerová</cp:lastModifiedBy>
  <cp:revision>2</cp:revision>
  <cp:lastPrinted>2008-12-29T09:32:00Z</cp:lastPrinted>
  <dcterms:created xsi:type="dcterms:W3CDTF">2012-02-10T05:13:00Z</dcterms:created>
  <dcterms:modified xsi:type="dcterms:W3CDTF">2012-02-10T05:13:00Z</dcterms:modified>
</cp:coreProperties>
</file>