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816583"/>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F94CF2" w:rsidRDefault="00F94CF2">
          <w:pPr>
            <w:pStyle w:val="Nadpisobsahu"/>
          </w:pPr>
          <w:r>
            <w:t>Obsah</w:t>
          </w:r>
        </w:p>
        <w:p w:rsidR="00F94CF2" w:rsidRDefault="00F94CF2" w:rsidP="00A96350">
          <w:pPr>
            <w:pStyle w:val="Obsah1"/>
            <w:tabs>
              <w:tab w:val="right" w:leader="dot" w:pos="10456"/>
            </w:tabs>
            <w:spacing w:line="240" w:lineRule="auto"/>
            <w:rPr>
              <w:noProof/>
            </w:rPr>
          </w:pPr>
          <w:r>
            <w:fldChar w:fldCharType="begin"/>
          </w:r>
          <w:r>
            <w:instrText xml:space="preserve"> TOC \o "1-3" \h \z \u </w:instrText>
          </w:r>
          <w:r>
            <w:fldChar w:fldCharType="separate"/>
          </w:r>
          <w:hyperlink w:anchor="_Toc282320114" w:history="1">
            <w:r w:rsidRPr="008407E3">
              <w:rPr>
                <w:rStyle w:val="Hypertextovodkaz"/>
                <w:rFonts w:eastAsia="Times New Roman"/>
                <w:noProof/>
                <w:lang w:eastAsia="cs-CZ"/>
              </w:rPr>
              <w:t>1. Historický vývoj a základní charakteristika Evropské unie</w:t>
            </w:r>
            <w:r>
              <w:rPr>
                <w:noProof/>
                <w:webHidden/>
              </w:rPr>
              <w:tab/>
            </w:r>
            <w:r>
              <w:rPr>
                <w:noProof/>
                <w:webHidden/>
              </w:rPr>
              <w:fldChar w:fldCharType="begin"/>
            </w:r>
            <w:r>
              <w:rPr>
                <w:noProof/>
                <w:webHidden/>
              </w:rPr>
              <w:instrText xml:space="preserve"> PAGEREF _Toc282320114 \h </w:instrText>
            </w:r>
            <w:r>
              <w:rPr>
                <w:noProof/>
                <w:webHidden/>
              </w:rPr>
            </w:r>
            <w:r>
              <w:rPr>
                <w:noProof/>
                <w:webHidden/>
              </w:rPr>
              <w:fldChar w:fldCharType="separate"/>
            </w:r>
            <w:r w:rsidR="00A96350">
              <w:rPr>
                <w:noProof/>
                <w:webHidden/>
              </w:rPr>
              <w:t>3</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15" w:history="1">
            <w:r w:rsidRPr="008407E3">
              <w:rPr>
                <w:rStyle w:val="Hypertextovodkaz"/>
                <w:rFonts w:eastAsia="Times New Roman"/>
                <w:noProof/>
                <w:lang w:eastAsia="cs-CZ"/>
              </w:rPr>
              <w:t>a) vznik tří evropských společenství</w:t>
            </w:r>
            <w:r>
              <w:rPr>
                <w:noProof/>
                <w:webHidden/>
              </w:rPr>
              <w:tab/>
            </w:r>
            <w:r>
              <w:rPr>
                <w:noProof/>
                <w:webHidden/>
              </w:rPr>
              <w:fldChar w:fldCharType="begin"/>
            </w:r>
            <w:r>
              <w:rPr>
                <w:noProof/>
                <w:webHidden/>
              </w:rPr>
              <w:instrText xml:space="preserve"> PAGEREF _Toc282320115 \h </w:instrText>
            </w:r>
            <w:r>
              <w:rPr>
                <w:noProof/>
                <w:webHidden/>
              </w:rPr>
            </w:r>
            <w:r>
              <w:rPr>
                <w:noProof/>
                <w:webHidden/>
              </w:rPr>
              <w:fldChar w:fldCharType="separate"/>
            </w:r>
            <w:r w:rsidR="00A96350">
              <w:rPr>
                <w:noProof/>
                <w:webHidden/>
              </w:rPr>
              <w:t>3</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16" w:history="1">
            <w:r w:rsidRPr="008407E3">
              <w:rPr>
                <w:rStyle w:val="Hypertextovodkaz"/>
                <w:rFonts w:eastAsia="Times New Roman"/>
                <w:noProof/>
                <w:lang w:eastAsia="cs-CZ"/>
              </w:rPr>
              <w:t>b) vznik EU jako třípilířové struktury</w:t>
            </w:r>
            <w:r>
              <w:rPr>
                <w:noProof/>
                <w:webHidden/>
              </w:rPr>
              <w:tab/>
            </w:r>
            <w:r>
              <w:rPr>
                <w:noProof/>
                <w:webHidden/>
              </w:rPr>
              <w:fldChar w:fldCharType="begin"/>
            </w:r>
            <w:r>
              <w:rPr>
                <w:noProof/>
                <w:webHidden/>
              </w:rPr>
              <w:instrText xml:space="preserve"> PAGEREF _Toc282320116 \h </w:instrText>
            </w:r>
            <w:r>
              <w:rPr>
                <w:noProof/>
                <w:webHidden/>
              </w:rPr>
            </w:r>
            <w:r>
              <w:rPr>
                <w:noProof/>
                <w:webHidden/>
              </w:rPr>
              <w:fldChar w:fldCharType="separate"/>
            </w:r>
            <w:r w:rsidR="00A96350">
              <w:rPr>
                <w:noProof/>
                <w:webHidden/>
              </w:rPr>
              <w:t>3</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17" w:history="1">
            <w:r w:rsidRPr="008407E3">
              <w:rPr>
                <w:rStyle w:val="Hypertextovodkaz"/>
                <w:rFonts w:eastAsia="Times New Roman"/>
                <w:noProof/>
                <w:lang w:eastAsia="cs-CZ"/>
              </w:rPr>
              <w:t>c) Smlouva o Ústavě pro Evropu</w:t>
            </w:r>
            <w:r>
              <w:rPr>
                <w:noProof/>
                <w:webHidden/>
              </w:rPr>
              <w:tab/>
            </w:r>
            <w:r>
              <w:rPr>
                <w:noProof/>
                <w:webHidden/>
              </w:rPr>
              <w:fldChar w:fldCharType="begin"/>
            </w:r>
            <w:r>
              <w:rPr>
                <w:noProof/>
                <w:webHidden/>
              </w:rPr>
              <w:instrText xml:space="preserve"> PAGEREF _Toc282320117 \h </w:instrText>
            </w:r>
            <w:r>
              <w:rPr>
                <w:noProof/>
                <w:webHidden/>
              </w:rPr>
            </w:r>
            <w:r>
              <w:rPr>
                <w:noProof/>
                <w:webHidden/>
              </w:rPr>
              <w:fldChar w:fldCharType="separate"/>
            </w:r>
            <w:r w:rsidR="00A96350">
              <w:rPr>
                <w:noProof/>
                <w:webHidden/>
              </w:rPr>
              <w:t>3</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18" w:history="1">
            <w:r w:rsidRPr="008407E3">
              <w:rPr>
                <w:rStyle w:val="Hypertextovodkaz"/>
                <w:rFonts w:eastAsia="Times New Roman"/>
                <w:noProof/>
                <w:lang w:eastAsia="cs-CZ"/>
              </w:rPr>
              <w:t>d) Lisabonská smlouva</w:t>
            </w:r>
            <w:r>
              <w:rPr>
                <w:noProof/>
                <w:webHidden/>
              </w:rPr>
              <w:tab/>
            </w:r>
            <w:r>
              <w:rPr>
                <w:noProof/>
                <w:webHidden/>
              </w:rPr>
              <w:fldChar w:fldCharType="begin"/>
            </w:r>
            <w:r>
              <w:rPr>
                <w:noProof/>
                <w:webHidden/>
              </w:rPr>
              <w:instrText xml:space="preserve"> PAGEREF _Toc282320118 \h </w:instrText>
            </w:r>
            <w:r>
              <w:rPr>
                <w:noProof/>
                <w:webHidden/>
              </w:rPr>
            </w:r>
            <w:r>
              <w:rPr>
                <w:noProof/>
                <w:webHidden/>
              </w:rPr>
              <w:fldChar w:fldCharType="separate"/>
            </w:r>
            <w:r w:rsidR="00A96350">
              <w:rPr>
                <w:noProof/>
                <w:webHidden/>
              </w:rPr>
              <w:t>3</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19" w:history="1">
            <w:r w:rsidRPr="008407E3">
              <w:rPr>
                <w:rStyle w:val="Hypertextovodkaz"/>
                <w:rFonts w:eastAsia="Times New Roman"/>
                <w:noProof/>
                <w:lang w:eastAsia="cs-CZ"/>
              </w:rPr>
              <w:t>e) základní charakteristika současné EU</w:t>
            </w:r>
            <w:r>
              <w:rPr>
                <w:noProof/>
                <w:webHidden/>
              </w:rPr>
              <w:tab/>
            </w:r>
            <w:r>
              <w:rPr>
                <w:noProof/>
                <w:webHidden/>
              </w:rPr>
              <w:fldChar w:fldCharType="begin"/>
            </w:r>
            <w:r>
              <w:rPr>
                <w:noProof/>
                <w:webHidden/>
              </w:rPr>
              <w:instrText xml:space="preserve"> PAGEREF _Toc282320119 \h </w:instrText>
            </w:r>
            <w:r>
              <w:rPr>
                <w:noProof/>
                <w:webHidden/>
              </w:rPr>
            </w:r>
            <w:r>
              <w:rPr>
                <w:noProof/>
                <w:webHidden/>
              </w:rPr>
              <w:fldChar w:fldCharType="separate"/>
            </w:r>
            <w:r w:rsidR="00A96350">
              <w:rPr>
                <w:noProof/>
                <w:webHidden/>
              </w:rPr>
              <w:t>3</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20" w:history="1">
            <w:r w:rsidRPr="008407E3">
              <w:rPr>
                <w:rStyle w:val="Hypertextovodkaz"/>
                <w:rFonts w:eastAsia="Times New Roman"/>
                <w:noProof/>
                <w:lang w:eastAsia="cs-CZ"/>
              </w:rPr>
              <w:t>2. Členství v EU</w:t>
            </w:r>
            <w:r>
              <w:rPr>
                <w:noProof/>
                <w:webHidden/>
              </w:rPr>
              <w:tab/>
            </w:r>
            <w:r>
              <w:rPr>
                <w:noProof/>
                <w:webHidden/>
              </w:rPr>
              <w:fldChar w:fldCharType="begin"/>
            </w:r>
            <w:r>
              <w:rPr>
                <w:noProof/>
                <w:webHidden/>
              </w:rPr>
              <w:instrText xml:space="preserve"> PAGEREF _Toc282320120 \h </w:instrText>
            </w:r>
            <w:r>
              <w:rPr>
                <w:noProof/>
                <w:webHidden/>
              </w:rPr>
            </w:r>
            <w:r>
              <w:rPr>
                <w:noProof/>
                <w:webHidden/>
              </w:rPr>
              <w:fldChar w:fldCharType="separate"/>
            </w:r>
            <w:r w:rsidR="00A96350">
              <w:rPr>
                <w:noProof/>
                <w:webHidden/>
              </w:rPr>
              <w:t>4</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21" w:history="1">
            <w:r w:rsidRPr="008407E3">
              <w:rPr>
                <w:rStyle w:val="Hypertextovodkaz"/>
                <w:rFonts w:eastAsia="Times New Roman"/>
                <w:noProof/>
                <w:lang w:eastAsia="cs-CZ"/>
              </w:rPr>
              <w:t>a) zakládající členové a jednotlivá rozšíření</w:t>
            </w:r>
            <w:r>
              <w:rPr>
                <w:noProof/>
                <w:webHidden/>
              </w:rPr>
              <w:tab/>
            </w:r>
            <w:r>
              <w:rPr>
                <w:noProof/>
                <w:webHidden/>
              </w:rPr>
              <w:fldChar w:fldCharType="begin"/>
            </w:r>
            <w:r>
              <w:rPr>
                <w:noProof/>
                <w:webHidden/>
              </w:rPr>
              <w:instrText xml:space="preserve"> PAGEREF _Toc282320121 \h </w:instrText>
            </w:r>
            <w:r>
              <w:rPr>
                <w:noProof/>
                <w:webHidden/>
              </w:rPr>
            </w:r>
            <w:r>
              <w:rPr>
                <w:noProof/>
                <w:webHidden/>
              </w:rPr>
              <w:fldChar w:fldCharType="separate"/>
            </w:r>
            <w:r w:rsidR="00A96350">
              <w:rPr>
                <w:noProof/>
                <w:webHidden/>
              </w:rPr>
              <w:t>4</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22" w:history="1">
            <w:r w:rsidRPr="008407E3">
              <w:rPr>
                <w:rStyle w:val="Hypertextovodkaz"/>
                <w:rFonts w:eastAsia="Times New Roman"/>
                <w:noProof/>
                <w:lang w:eastAsia="cs-CZ"/>
              </w:rPr>
              <w:t>b) materiální podmínky členství - Kodaňská kriteria</w:t>
            </w:r>
            <w:r>
              <w:rPr>
                <w:noProof/>
                <w:webHidden/>
              </w:rPr>
              <w:tab/>
            </w:r>
            <w:r>
              <w:rPr>
                <w:noProof/>
                <w:webHidden/>
              </w:rPr>
              <w:fldChar w:fldCharType="begin"/>
            </w:r>
            <w:r>
              <w:rPr>
                <w:noProof/>
                <w:webHidden/>
              </w:rPr>
              <w:instrText xml:space="preserve"> PAGEREF _Toc282320122 \h </w:instrText>
            </w:r>
            <w:r>
              <w:rPr>
                <w:noProof/>
                <w:webHidden/>
              </w:rPr>
            </w:r>
            <w:r>
              <w:rPr>
                <w:noProof/>
                <w:webHidden/>
              </w:rPr>
              <w:fldChar w:fldCharType="separate"/>
            </w:r>
            <w:r w:rsidR="00A96350">
              <w:rPr>
                <w:noProof/>
                <w:webHidden/>
              </w:rPr>
              <w:t>4</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23" w:history="1">
            <w:r w:rsidRPr="008407E3">
              <w:rPr>
                <w:rStyle w:val="Hypertextovodkaz"/>
                <w:rFonts w:eastAsia="Times New Roman"/>
                <w:noProof/>
                <w:lang w:eastAsia="cs-CZ"/>
              </w:rPr>
              <w:t>c) procedurální podmínky členství</w:t>
            </w:r>
            <w:r>
              <w:rPr>
                <w:noProof/>
                <w:webHidden/>
              </w:rPr>
              <w:tab/>
            </w:r>
            <w:r>
              <w:rPr>
                <w:noProof/>
                <w:webHidden/>
              </w:rPr>
              <w:fldChar w:fldCharType="begin"/>
            </w:r>
            <w:r>
              <w:rPr>
                <w:noProof/>
                <w:webHidden/>
              </w:rPr>
              <w:instrText xml:space="preserve"> PAGEREF _Toc282320123 \h </w:instrText>
            </w:r>
            <w:r>
              <w:rPr>
                <w:noProof/>
                <w:webHidden/>
              </w:rPr>
            </w:r>
            <w:r>
              <w:rPr>
                <w:noProof/>
                <w:webHidden/>
              </w:rPr>
              <w:fldChar w:fldCharType="separate"/>
            </w:r>
            <w:r w:rsidR="00A96350">
              <w:rPr>
                <w:noProof/>
                <w:webHidden/>
              </w:rPr>
              <w:t>4</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24" w:history="1">
            <w:r w:rsidRPr="008407E3">
              <w:rPr>
                <w:rStyle w:val="Hypertextovodkaz"/>
                <w:rFonts w:eastAsia="Times New Roman"/>
                <w:noProof/>
                <w:lang w:eastAsia="cs-CZ"/>
              </w:rPr>
              <w:t xml:space="preserve">d) obsah </w:t>
            </w:r>
            <w:r w:rsidRPr="008407E3">
              <w:rPr>
                <w:rStyle w:val="Hypertextovodkaz"/>
                <w:rFonts w:eastAsia="Times New Roman"/>
                <w:noProof/>
                <w:lang w:eastAsia="cs-CZ"/>
              </w:rPr>
              <w:t>č</w:t>
            </w:r>
            <w:r w:rsidRPr="008407E3">
              <w:rPr>
                <w:rStyle w:val="Hypertextovodkaz"/>
                <w:rFonts w:eastAsia="Times New Roman"/>
                <w:noProof/>
                <w:lang w:eastAsia="cs-CZ"/>
              </w:rPr>
              <w:t>lenství v EU</w:t>
            </w:r>
            <w:r>
              <w:rPr>
                <w:noProof/>
                <w:webHidden/>
              </w:rPr>
              <w:tab/>
            </w:r>
            <w:r>
              <w:rPr>
                <w:noProof/>
                <w:webHidden/>
              </w:rPr>
              <w:fldChar w:fldCharType="begin"/>
            </w:r>
            <w:r>
              <w:rPr>
                <w:noProof/>
                <w:webHidden/>
              </w:rPr>
              <w:instrText xml:space="preserve"> PAGEREF _Toc282320124 \h </w:instrText>
            </w:r>
            <w:r>
              <w:rPr>
                <w:noProof/>
                <w:webHidden/>
              </w:rPr>
            </w:r>
            <w:r>
              <w:rPr>
                <w:noProof/>
                <w:webHidden/>
              </w:rPr>
              <w:fldChar w:fldCharType="separate"/>
            </w:r>
            <w:r w:rsidR="00A96350">
              <w:rPr>
                <w:noProof/>
                <w:webHidden/>
              </w:rPr>
              <w:t>4</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25" w:history="1">
            <w:r w:rsidRPr="008407E3">
              <w:rPr>
                <w:rStyle w:val="Hypertextovodkaz"/>
                <w:rFonts w:eastAsia="Times New Roman"/>
                <w:noProof/>
                <w:lang w:eastAsia="cs-CZ"/>
              </w:rPr>
              <w:t>e) zánik členství v EU</w:t>
            </w:r>
            <w:r>
              <w:rPr>
                <w:noProof/>
                <w:webHidden/>
              </w:rPr>
              <w:tab/>
            </w:r>
            <w:r>
              <w:rPr>
                <w:noProof/>
                <w:webHidden/>
              </w:rPr>
              <w:fldChar w:fldCharType="begin"/>
            </w:r>
            <w:r>
              <w:rPr>
                <w:noProof/>
                <w:webHidden/>
              </w:rPr>
              <w:instrText xml:space="preserve"> PAGEREF _Toc282320125 \h </w:instrText>
            </w:r>
            <w:r>
              <w:rPr>
                <w:noProof/>
                <w:webHidden/>
              </w:rPr>
            </w:r>
            <w:r>
              <w:rPr>
                <w:noProof/>
                <w:webHidden/>
              </w:rPr>
              <w:fldChar w:fldCharType="separate"/>
            </w:r>
            <w:r w:rsidR="00A96350">
              <w:rPr>
                <w:noProof/>
                <w:webHidden/>
              </w:rPr>
              <w:t>4</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26" w:history="1">
            <w:r w:rsidRPr="008407E3">
              <w:rPr>
                <w:rStyle w:val="Hypertextovodkaz"/>
                <w:rFonts w:eastAsia="Times New Roman"/>
                <w:noProof/>
                <w:lang w:eastAsia="cs-CZ"/>
              </w:rPr>
              <w:t>3. Unijní občanství</w:t>
            </w:r>
            <w:r>
              <w:rPr>
                <w:noProof/>
                <w:webHidden/>
              </w:rPr>
              <w:tab/>
            </w:r>
            <w:r>
              <w:rPr>
                <w:noProof/>
                <w:webHidden/>
              </w:rPr>
              <w:fldChar w:fldCharType="begin"/>
            </w:r>
            <w:r>
              <w:rPr>
                <w:noProof/>
                <w:webHidden/>
              </w:rPr>
              <w:instrText xml:space="preserve"> PAGEREF _Toc282320126 \h </w:instrText>
            </w:r>
            <w:r>
              <w:rPr>
                <w:noProof/>
                <w:webHidden/>
              </w:rPr>
            </w:r>
            <w:r>
              <w:rPr>
                <w:noProof/>
                <w:webHidden/>
              </w:rPr>
              <w:fldChar w:fldCharType="separate"/>
            </w:r>
            <w:r w:rsidR="00A96350">
              <w:rPr>
                <w:noProof/>
                <w:webHidden/>
              </w:rPr>
              <w:t>5</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27" w:history="1">
            <w:r w:rsidRPr="008407E3">
              <w:rPr>
                <w:rStyle w:val="Hypertextovodkaz"/>
                <w:rFonts w:eastAsia="Times New Roman"/>
                <w:noProof/>
                <w:lang w:eastAsia="cs-CZ"/>
              </w:rPr>
              <w:t>a) Unijní občanství jako institut doplňující státní občanství členských států EU</w:t>
            </w:r>
            <w:r>
              <w:rPr>
                <w:noProof/>
                <w:webHidden/>
              </w:rPr>
              <w:tab/>
            </w:r>
            <w:r>
              <w:rPr>
                <w:noProof/>
                <w:webHidden/>
              </w:rPr>
              <w:fldChar w:fldCharType="begin"/>
            </w:r>
            <w:r>
              <w:rPr>
                <w:noProof/>
                <w:webHidden/>
              </w:rPr>
              <w:instrText xml:space="preserve"> PAGEREF _Toc282320127 \h </w:instrText>
            </w:r>
            <w:r>
              <w:rPr>
                <w:noProof/>
                <w:webHidden/>
              </w:rPr>
            </w:r>
            <w:r>
              <w:rPr>
                <w:noProof/>
                <w:webHidden/>
              </w:rPr>
              <w:fldChar w:fldCharType="separate"/>
            </w:r>
            <w:r w:rsidR="00A96350">
              <w:rPr>
                <w:noProof/>
                <w:webHidden/>
              </w:rPr>
              <w:t>5</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28" w:history="1">
            <w:r w:rsidRPr="008407E3">
              <w:rPr>
                <w:rStyle w:val="Hypertextovodkaz"/>
                <w:rFonts w:eastAsia="Times New Roman"/>
                <w:noProof/>
                <w:lang w:eastAsia="cs-CZ"/>
              </w:rPr>
              <w:t>b) katalog práv vyplývajících z unijního občanství</w:t>
            </w:r>
            <w:r>
              <w:rPr>
                <w:noProof/>
                <w:webHidden/>
              </w:rPr>
              <w:tab/>
            </w:r>
            <w:r>
              <w:rPr>
                <w:noProof/>
                <w:webHidden/>
              </w:rPr>
              <w:fldChar w:fldCharType="begin"/>
            </w:r>
            <w:r>
              <w:rPr>
                <w:noProof/>
                <w:webHidden/>
              </w:rPr>
              <w:instrText xml:space="preserve"> PAGEREF _Toc282320128 \h </w:instrText>
            </w:r>
            <w:r>
              <w:rPr>
                <w:noProof/>
                <w:webHidden/>
              </w:rPr>
            </w:r>
            <w:r>
              <w:rPr>
                <w:noProof/>
                <w:webHidden/>
              </w:rPr>
              <w:fldChar w:fldCharType="separate"/>
            </w:r>
            <w:r w:rsidR="00A96350">
              <w:rPr>
                <w:noProof/>
                <w:webHidden/>
              </w:rPr>
              <w:t>5</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29" w:history="1">
            <w:r w:rsidRPr="008407E3">
              <w:rPr>
                <w:rStyle w:val="Hypertextovodkaz"/>
                <w:rFonts w:eastAsia="Times New Roman"/>
                <w:noProof/>
                <w:lang w:eastAsia="cs-CZ"/>
              </w:rPr>
              <w:t>c) práva občanů ČR jako unijních občanů po vstupu ČR do EU</w:t>
            </w:r>
            <w:r>
              <w:rPr>
                <w:noProof/>
                <w:webHidden/>
              </w:rPr>
              <w:tab/>
            </w:r>
            <w:r>
              <w:rPr>
                <w:noProof/>
                <w:webHidden/>
              </w:rPr>
              <w:fldChar w:fldCharType="begin"/>
            </w:r>
            <w:r>
              <w:rPr>
                <w:noProof/>
                <w:webHidden/>
              </w:rPr>
              <w:instrText xml:space="preserve"> PAGEREF _Toc282320129 \h </w:instrText>
            </w:r>
            <w:r>
              <w:rPr>
                <w:noProof/>
                <w:webHidden/>
              </w:rPr>
            </w:r>
            <w:r>
              <w:rPr>
                <w:noProof/>
                <w:webHidden/>
              </w:rPr>
              <w:fldChar w:fldCharType="separate"/>
            </w:r>
            <w:r w:rsidR="00A96350">
              <w:rPr>
                <w:noProof/>
                <w:webHidden/>
              </w:rPr>
              <w:t>5</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30" w:history="1">
            <w:r w:rsidRPr="008407E3">
              <w:rPr>
                <w:rStyle w:val="Hypertextovodkaz"/>
                <w:rFonts w:eastAsia="Times New Roman"/>
                <w:noProof/>
                <w:lang w:eastAsia="cs-CZ"/>
              </w:rPr>
              <w:t>d) Schengenský systém</w:t>
            </w:r>
            <w:r>
              <w:rPr>
                <w:noProof/>
                <w:webHidden/>
              </w:rPr>
              <w:tab/>
            </w:r>
            <w:r>
              <w:rPr>
                <w:noProof/>
                <w:webHidden/>
              </w:rPr>
              <w:fldChar w:fldCharType="begin"/>
            </w:r>
            <w:r>
              <w:rPr>
                <w:noProof/>
                <w:webHidden/>
              </w:rPr>
              <w:instrText xml:space="preserve"> PAGEREF _Toc282320130 \h </w:instrText>
            </w:r>
            <w:r>
              <w:rPr>
                <w:noProof/>
                <w:webHidden/>
              </w:rPr>
            </w:r>
            <w:r>
              <w:rPr>
                <w:noProof/>
                <w:webHidden/>
              </w:rPr>
              <w:fldChar w:fldCharType="separate"/>
            </w:r>
            <w:r w:rsidR="00A96350">
              <w:rPr>
                <w:noProof/>
                <w:webHidden/>
              </w:rPr>
              <w:t>5</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31" w:history="1">
            <w:r w:rsidRPr="008407E3">
              <w:rPr>
                <w:rStyle w:val="Hypertextovodkaz"/>
                <w:rFonts w:eastAsia="Times New Roman"/>
                <w:noProof/>
                <w:lang w:eastAsia="cs-CZ"/>
              </w:rPr>
              <w:t>4. Základní prameny práva EU</w:t>
            </w:r>
            <w:r>
              <w:rPr>
                <w:noProof/>
                <w:webHidden/>
              </w:rPr>
              <w:tab/>
            </w:r>
            <w:r>
              <w:rPr>
                <w:noProof/>
                <w:webHidden/>
              </w:rPr>
              <w:fldChar w:fldCharType="begin"/>
            </w:r>
            <w:r>
              <w:rPr>
                <w:noProof/>
                <w:webHidden/>
              </w:rPr>
              <w:instrText xml:space="preserve"> PAGEREF _Toc282320131 \h </w:instrText>
            </w:r>
            <w:r>
              <w:rPr>
                <w:noProof/>
                <w:webHidden/>
              </w:rPr>
            </w:r>
            <w:r>
              <w:rPr>
                <w:noProof/>
                <w:webHidden/>
              </w:rPr>
              <w:fldChar w:fldCharType="separate"/>
            </w:r>
            <w:r w:rsidR="00A96350">
              <w:rPr>
                <w:noProof/>
                <w:webHidden/>
              </w:rPr>
              <w:t>6</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32" w:history="1">
            <w:r w:rsidRPr="008407E3">
              <w:rPr>
                <w:rStyle w:val="Hypertextovodkaz"/>
                <w:rFonts w:eastAsia="Times New Roman"/>
                <w:noProof/>
                <w:lang w:eastAsia="cs-CZ"/>
              </w:rPr>
              <w:t>a) primární prameny práva EU</w:t>
            </w:r>
            <w:r>
              <w:rPr>
                <w:noProof/>
                <w:webHidden/>
              </w:rPr>
              <w:tab/>
            </w:r>
            <w:r>
              <w:rPr>
                <w:noProof/>
                <w:webHidden/>
              </w:rPr>
              <w:fldChar w:fldCharType="begin"/>
            </w:r>
            <w:r>
              <w:rPr>
                <w:noProof/>
                <w:webHidden/>
              </w:rPr>
              <w:instrText xml:space="preserve"> PAGEREF _Toc282320132 \h </w:instrText>
            </w:r>
            <w:r>
              <w:rPr>
                <w:noProof/>
                <w:webHidden/>
              </w:rPr>
            </w:r>
            <w:r>
              <w:rPr>
                <w:noProof/>
                <w:webHidden/>
              </w:rPr>
              <w:fldChar w:fldCharType="separate"/>
            </w:r>
            <w:r w:rsidR="00A96350">
              <w:rPr>
                <w:noProof/>
                <w:webHidden/>
              </w:rPr>
              <w:t>6</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33" w:history="1">
            <w:r w:rsidRPr="008407E3">
              <w:rPr>
                <w:rStyle w:val="Hypertextovodkaz"/>
                <w:rFonts w:eastAsia="Times New Roman"/>
                <w:noProof/>
                <w:lang w:eastAsia="cs-CZ"/>
              </w:rPr>
              <w:t>b) sekundární prameny práva EU - nařízení, směrnice, rozhodnutí</w:t>
            </w:r>
            <w:r>
              <w:rPr>
                <w:noProof/>
                <w:webHidden/>
              </w:rPr>
              <w:tab/>
            </w:r>
            <w:r>
              <w:rPr>
                <w:noProof/>
                <w:webHidden/>
              </w:rPr>
              <w:fldChar w:fldCharType="begin"/>
            </w:r>
            <w:r>
              <w:rPr>
                <w:noProof/>
                <w:webHidden/>
              </w:rPr>
              <w:instrText xml:space="preserve"> PAGEREF _Toc282320133 \h </w:instrText>
            </w:r>
            <w:r>
              <w:rPr>
                <w:noProof/>
                <w:webHidden/>
              </w:rPr>
            </w:r>
            <w:r>
              <w:rPr>
                <w:noProof/>
                <w:webHidden/>
              </w:rPr>
              <w:fldChar w:fldCharType="separate"/>
            </w:r>
            <w:r w:rsidR="00A96350">
              <w:rPr>
                <w:noProof/>
                <w:webHidden/>
              </w:rPr>
              <w:t>6</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34" w:history="1">
            <w:r w:rsidRPr="008407E3">
              <w:rPr>
                <w:rStyle w:val="Hypertextovodkaz"/>
                <w:rFonts w:eastAsia="Times New Roman"/>
                <w:noProof/>
                <w:lang w:eastAsia="cs-CZ"/>
              </w:rPr>
              <w:t>c) rozsudky ESD</w:t>
            </w:r>
            <w:r>
              <w:rPr>
                <w:noProof/>
                <w:webHidden/>
              </w:rPr>
              <w:tab/>
            </w:r>
            <w:r>
              <w:rPr>
                <w:noProof/>
                <w:webHidden/>
              </w:rPr>
              <w:fldChar w:fldCharType="begin"/>
            </w:r>
            <w:r>
              <w:rPr>
                <w:noProof/>
                <w:webHidden/>
              </w:rPr>
              <w:instrText xml:space="preserve"> PAGEREF _Toc282320134 \h </w:instrText>
            </w:r>
            <w:r>
              <w:rPr>
                <w:noProof/>
                <w:webHidden/>
              </w:rPr>
            </w:r>
            <w:r>
              <w:rPr>
                <w:noProof/>
                <w:webHidden/>
              </w:rPr>
              <w:fldChar w:fldCharType="separate"/>
            </w:r>
            <w:r w:rsidR="00A96350">
              <w:rPr>
                <w:noProof/>
                <w:webHidden/>
              </w:rPr>
              <w:t>7</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35" w:history="1">
            <w:r w:rsidRPr="008407E3">
              <w:rPr>
                <w:rStyle w:val="Hypertextovodkaz"/>
                <w:rFonts w:eastAsia="Times New Roman"/>
                <w:noProof/>
                <w:lang w:eastAsia="cs-CZ"/>
              </w:rPr>
              <w:t>d) obecné právní zásady</w:t>
            </w:r>
            <w:r>
              <w:rPr>
                <w:noProof/>
                <w:webHidden/>
              </w:rPr>
              <w:tab/>
            </w:r>
            <w:r>
              <w:rPr>
                <w:noProof/>
                <w:webHidden/>
              </w:rPr>
              <w:fldChar w:fldCharType="begin"/>
            </w:r>
            <w:r>
              <w:rPr>
                <w:noProof/>
                <w:webHidden/>
              </w:rPr>
              <w:instrText xml:space="preserve"> PAGEREF _Toc282320135 \h </w:instrText>
            </w:r>
            <w:r>
              <w:rPr>
                <w:noProof/>
                <w:webHidden/>
              </w:rPr>
            </w:r>
            <w:r>
              <w:rPr>
                <w:noProof/>
                <w:webHidden/>
              </w:rPr>
              <w:fldChar w:fldCharType="separate"/>
            </w:r>
            <w:r w:rsidR="00A96350">
              <w:rPr>
                <w:noProof/>
                <w:webHidden/>
              </w:rPr>
              <w:t>7</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36" w:history="1">
            <w:r w:rsidRPr="008407E3">
              <w:rPr>
                <w:rStyle w:val="Hypertextovodkaz"/>
                <w:rFonts w:eastAsia="Times New Roman"/>
                <w:noProof/>
                <w:lang w:eastAsia="cs-CZ"/>
              </w:rPr>
              <w:t>e) mezinárodní smlouvy, jejichž smluvní stranou je EU</w:t>
            </w:r>
            <w:r>
              <w:rPr>
                <w:noProof/>
                <w:webHidden/>
              </w:rPr>
              <w:tab/>
            </w:r>
            <w:r>
              <w:rPr>
                <w:noProof/>
                <w:webHidden/>
              </w:rPr>
              <w:fldChar w:fldCharType="begin"/>
            </w:r>
            <w:r>
              <w:rPr>
                <w:noProof/>
                <w:webHidden/>
              </w:rPr>
              <w:instrText xml:space="preserve"> PAGEREF _Toc282320136 \h </w:instrText>
            </w:r>
            <w:r>
              <w:rPr>
                <w:noProof/>
                <w:webHidden/>
              </w:rPr>
            </w:r>
            <w:r>
              <w:rPr>
                <w:noProof/>
                <w:webHidden/>
              </w:rPr>
              <w:fldChar w:fldCharType="separate"/>
            </w:r>
            <w:r w:rsidR="00A96350">
              <w:rPr>
                <w:noProof/>
                <w:webHidden/>
              </w:rPr>
              <w:t>7</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37" w:history="1">
            <w:r w:rsidRPr="008407E3">
              <w:rPr>
                <w:rStyle w:val="Hypertextovodkaz"/>
                <w:rFonts w:eastAsia="Times New Roman"/>
                <w:noProof/>
                <w:lang w:eastAsia="cs-CZ"/>
              </w:rPr>
              <w:t>5. Přímá aplikovatelnost pravidel práva EU</w:t>
            </w:r>
            <w:r>
              <w:rPr>
                <w:noProof/>
                <w:webHidden/>
              </w:rPr>
              <w:tab/>
            </w:r>
            <w:r>
              <w:rPr>
                <w:noProof/>
                <w:webHidden/>
              </w:rPr>
              <w:fldChar w:fldCharType="begin"/>
            </w:r>
            <w:r>
              <w:rPr>
                <w:noProof/>
                <w:webHidden/>
              </w:rPr>
              <w:instrText xml:space="preserve"> PAGEREF _Toc282320137 \h </w:instrText>
            </w:r>
            <w:r>
              <w:rPr>
                <w:noProof/>
                <w:webHidden/>
              </w:rPr>
            </w:r>
            <w:r>
              <w:rPr>
                <w:noProof/>
                <w:webHidden/>
              </w:rPr>
              <w:fldChar w:fldCharType="separate"/>
            </w:r>
            <w:r w:rsidR="00A96350">
              <w:rPr>
                <w:noProof/>
                <w:webHidden/>
              </w:rPr>
              <w:t>8</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38" w:history="1">
            <w:r w:rsidRPr="008407E3">
              <w:rPr>
                <w:rStyle w:val="Hypertextovodkaz"/>
                <w:rFonts w:eastAsia="Times New Roman"/>
                <w:noProof/>
                <w:lang w:eastAsia="cs-CZ"/>
              </w:rPr>
              <w:t>a) přímá aplikovatelnost primárního práva EU</w:t>
            </w:r>
            <w:r>
              <w:rPr>
                <w:noProof/>
                <w:webHidden/>
              </w:rPr>
              <w:tab/>
            </w:r>
            <w:r>
              <w:rPr>
                <w:noProof/>
                <w:webHidden/>
              </w:rPr>
              <w:fldChar w:fldCharType="begin"/>
            </w:r>
            <w:r>
              <w:rPr>
                <w:noProof/>
                <w:webHidden/>
              </w:rPr>
              <w:instrText xml:space="preserve"> PAGEREF _Toc282320138 \h </w:instrText>
            </w:r>
            <w:r>
              <w:rPr>
                <w:noProof/>
                <w:webHidden/>
              </w:rPr>
            </w:r>
            <w:r>
              <w:rPr>
                <w:noProof/>
                <w:webHidden/>
              </w:rPr>
              <w:fldChar w:fldCharType="separate"/>
            </w:r>
            <w:r w:rsidR="00A96350">
              <w:rPr>
                <w:noProof/>
                <w:webHidden/>
              </w:rPr>
              <w:t>8</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39" w:history="1">
            <w:r w:rsidRPr="008407E3">
              <w:rPr>
                <w:rStyle w:val="Hypertextovodkaz"/>
                <w:rFonts w:eastAsia="Times New Roman"/>
                <w:noProof/>
                <w:lang w:eastAsia="cs-CZ"/>
              </w:rPr>
              <w:t>b) přímá aplikovatelnost nařízení EU</w:t>
            </w:r>
            <w:r>
              <w:rPr>
                <w:noProof/>
                <w:webHidden/>
              </w:rPr>
              <w:tab/>
            </w:r>
            <w:r>
              <w:rPr>
                <w:noProof/>
                <w:webHidden/>
              </w:rPr>
              <w:fldChar w:fldCharType="begin"/>
            </w:r>
            <w:r>
              <w:rPr>
                <w:noProof/>
                <w:webHidden/>
              </w:rPr>
              <w:instrText xml:space="preserve"> PAGEREF _Toc282320139 \h </w:instrText>
            </w:r>
            <w:r>
              <w:rPr>
                <w:noProof/>
                <w:webHidden/>
              </w:rPr>
            </w:r>
            <w:r>
              <w:rPr>
                <w:noProof/>
                <w:webHidden/>
              </w:rPr>
              <w:fldChar w:fldCharType="separate"/>
            </w:r>
            <w:r w:rsidR="00A96350">
              <w:rPr>
                <w:noProof/>
                <w:webHidden/>
              </w:rPr>
              <w:t>8</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40" w:history="1">
            <w:r w:rsidRPr="008407E3">
              <w:rPr>
                <w:rStyle w:val="Hypertextovodkaz"/>
                <w:rFonts w:eastAsia="Times New Roman"/>
                <w:noProof/>
                <w:lang w:eastAsia="cs-CZ"/>
              </w:rPr>
              <w:t>c) přímá aplikovatelnost směrnic EU</w:t>
            </w:r>
            <w:r>
              <w:rPr>
                <w:noProof/>
                <w:webHidden/>
              </w:rPr>
              <w:tab/>
            </w:r>
            <w:r>
              <w:rPr>
                <w:noProof/>
                <w:webHidden/>
              </w:rPr>
              <w:fldChar w:fldCharType="begin"/>
            </w:r>
            <w:r>
              <w:rPr>
                <w:noProof/>
                <w:webHidden/>
              </w:rPr>
              <w:instrText xml:space="preserve"> PAGEREF _Toc282320140 \h </w:instrText>
            </w:r>
            <w:r>
              <w:rPr>
                <w:noProof/>
                <w:webHidden/>
              </w:rPr>
            </w:r>
            <w:r>
              <w:rPr>
                <w:noProof/>
                <w:webHidden/>
              </w:rPr>
              <w:fldChar w:fldCharType="separate"/>
            </w:r>
            <w:r w:rsidR="00A96350">
              <w:rPr>
                <w:noProof/>
                <w:webHidden/>
              </w:rPr>
              <w:t>8</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41" w:history="1">
            <w:r w:rsidRPr="008407E3">
              <w:rPr>
                <w:rStyle w:val="Hypertextovodkaz"/>
                <w:rFonts w:eastAsia="Times New Roman"/>
                <w:noProof/>
                <w:lang w:eastAsia="cs-CZ"/>
              </w:rPr>
              <w:t>6. Vztah práva EU a vnitrostátního práva členských států EU</w:t>
            </w:r>
            <w:r>
              <w:rPr>
                <w:noProof/>
                <w:webHidden/>
              </w:rPr>
              <w:tab/>
            </w:r>
            <w:r>
              <w:rPr>
                <w:noProof/>
                <w:webHidden/>
              </w:rPr>
              <w:fldChar w:fldCharType="begin"/>
            </w:r>
            <w:r>
              <w:rPr>
                <w:noProof/>
                <w:webHidden/>
              </w:rPr>
              <w:instrText xml:space="preserve"> PAGEREF _Toc282320141 \h </w:instrText>
            </w:r>
            <w:r>
              <w:rPr>
                <w:noProof/>
                <w:webHidden/>
              </w:rPr>
            </w:r>
            <w:r>
              <w:rPr>
                <w:noProof/>
                <w:webHidden/>
              </w:rPr>
              <w:fldChar w:fldCharType="separate"/>
            </w:r>
            <w:r w:rsidR="00A96350">
              <w:rPr>
                <w:noProof/>
                <w:webHidden/>
              </w:rPr>
              <w:t>9</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42" w:history="1">
            <w:r w:rsidRPr="008407E3">
              <w:rPr>
                <w:rStyle w:val="Hypertextovodkaz"/>
                <w:rFonts w:eastAsia="Times New Roman"/>
                <w:noProof/>
                <w:lang w:eastAsia="cs-CZ"/>
              </w:rPr>
              <w:t>a) zásada aplikační přednosti práva EU podle rozsudku ESD ve věci Costa v. Enel</w:t>
            </w:r>
            <w:r>
              <w:rPr>
                <w:noProof/>
                <w:webHidden/>
              </w:rPr>
              <w:tab/>
            </w:r>
            <w:r>
              <w:rPr>
                <w:noProof/>
                <w:webHidden/>
              </w:rPr>
              <w:fldChar w:fldCharType="begin"/>
            </w:r>
            <w:r>
              <w:rPr>
                <w:noProof/>
                <w:webHidden/>
              </w:rPr>
              <w:instrText xml:space="preserve"> PAGEREF _Toc282320142 \h </w:instrText>
            </w:r>
            <w:r>
              <w:rPr>
                <w:noProof/>
                <w:webHidden/>
              </w:rPr>
            </w:r>
            <w:r>
              <w:rPr>
                <w:noProof/>
                <w:webHidden/>
              </w:rPr>
              <w:fldChar w:fldCharType="separate"/>
            </w:r>
            <w:r w:rsidR="00A96350">
              <w:rPr>
                <w:noProof/>
                <w:webHidden/>
              </w:rPr>
              <w:t>9</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43" w:history="1">
            <w:r w:rsidRPr="008407E3">
              <w:rPr>
                <w:rStyle w:val="Hypertextovodkaz"/>
                <w:rFonts w:eastAsia="Times New Roman"/>
                <w:noProof/>
                <w:lang w:eastAsia="cs-CZ"/>
              </w:rPr>
              <w:t>b) ústavní výjimka ze zásady aplikační přednosti</w:t>
            </w:r>
            <w:r>
              <w:rPr>
                <w:noProof/>
                <w:webHidden/>
              </w:rPr>
              <w:tab/>
            </w:r>
            <w:r>
              <w:rPr>
                <w:noProof/>
                <w:webHidden/>
              </w:rPr>
              <w:fldChar w:fldCharType="begin"/>
            </w:r>
            <w:r>
              <w:rPr>
                <w:noProof/>
                <w:webHidden/>
              </w:rPr>
              <w:instrText xml:space="preserve"> PAGEREF _Toc282320143 \h </w:instrText>
            </w:r>
            <w:r>
              <w:rPr>
                <w:noProof/>
                <w:webHidden/>
              </w:rPr>
            </w:r>
            <w:r>
              <w:rPr>
                <w:noProof/>
                <w:webHidden/>
              </w:rPr>
              <w:fldChar w:fldCharType="separate"/>
            </w:r>
            <w:r w:rsidR="00A96350">
              <w:rPr>
                <w:noProof/>
                <w:webHidden/>
              </w:rPr>
              <w:t>9</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44" w:history="1">
            <w:r w:rsidRPr="008407E3">
              <w:rPr>
                <w:rStyle w:val="Hypertextovodkaz"/>
                <w:rFonts w:eastAsia="Times New Roman"/>
                <w:noProof/>
                <w:lang w:eastAsia="cs-CZ"/>
              </w:rPr>
              <w:t>c) zásada eurokonformního výkladu</w:t>
            </w:r>
            <w:r>
              <w:rPr>
                <w:noProof/>
                <w:webHidden/>
              </w:rPr>
              <w:tab/>
            </w:r>
            <w:r>
              <w:rPr>
                <w:noProof/>
                <w:webHidden/>
              </w:rPr>
              <w:fldChar w:fldCharType="begin"/>
            </w:r>
            <w:r>
              <w:rPr>
                <w:noProof/>
                <w:webHidden/>
              </w:rPr>
              <w:instrText xml:space="preserve"> PAGEREF _Toc282320144 \h </w:instrText>
            </w:r>
            <w:r>
              <w:rPr>
                <w:noProof/>
                <w:webHidden/>
              </w:rPr>
            </w:r>
            <w:r>
              <w:rPr>
                <w:noProof/>
                <w:webHidden/>
              </w:rPr>
              <w:fldChar w:fldCharType="separate"/>
            </w:r>
            <w:r w:rsidR="00A96350">
              <w:rPr>
                <w:noProof/>
                <w:webHidden/>
              </w:rPr>
              <w:t>9</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45" w:history="1">
            <w:r w:rsidRPr="008407E3">
              <w:rPr>
                <w:rStyle w:val="Hypertextovodkaz"/>
                <w:rFonts w:eastAsia="Times New Roman"/>
                <w:noProof/>
                <w:lang w:eastAsia="cs-CZ"/>
              </w:rPr>
              <w:t>7. Základní charakteristika orgánů EU</w:t>
            </w:r>
            <w:r>
              <w:rPr>
                <w:noProof/>
                <w:webHidden/>
              </w:rPr>
              <w:tab/>
            </w:r>
            <w:r>
              <w:rPr>
                <w:noProof/>
                <w:webHidden/>
              </w:rPr>
              <w:fldChar w:fldCharType="begin"/>
            </w:r>
            <w:r>
              <w:rPr>
                <w:noProof/>
                <w:webHidden/>
              </w:rPr>
              <w:instrText xml:space="preserve"> PAGEREF _Toc282320145 \h </w:instrText>
            </w:r>
            <w:r>
              <w:rPr>
                <w:noProof/>
                <w:webHidden/>
              </w:rPr>
            </w:r>
            <w:r>
              <w:rPr>
                <w:noProof/>
                <w:webHidden/>
              </w:rPr>
              <w:fldChar w:fldCharType="separate"/>
            </w:r>
            <w:r w:rsidR="00A96350">
              <w:rPr>
                <w:noProof/>
                <w:webHidden/>
              </w:rPr>
              <w:t>10</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46" w:history="1">
            <w:r w:rsidRPr="008407E3">
              <w:rPr>
                <w:rStyle w:val="Hypertextovodkaz"/>
                <w:rFonts w:eastAsia="Times New Roman"/>
                <w:noProof/>
                <w:lang w:eastAsia="cs-CZ"/>
              </w:rPr>
              <w:t>a) Evropská rada</w:t>
            </w:r>
            <w:r>
              <w:rPr>
                <w:noProof/>
                <w:webHidden/>
              </w:rPr>
              <w:tab/>
            </w:r>
            <w:r>
              <w:rPr>
                <w:noProof/>
                <w:webHidden/>
              </w:rPr>
              <w:fldChar w:fldCharType="begin"/>
            </w:r>
            <w:r>
              <w:rPr>
                <w:noProof/>
                <w:webHidden/>
              </w:rPr>
              <w:instrText xml:space="preserve"> PAGEREF _Toc282320146 \h </w:instrText>
            </w:r>
            <w:r>
              <w:rPr>
                <w:noProof/>
                <w:webHidden/>
              </w:rPr>
            </w:r>
            <w:r>
              <w:rPr>
                <w:noProof/>
                <w:webHidden/>
              </w:rPr>
              <w:fldChar w:fldCharType="separate"/>
            </w:r>
            <w:r w:rsidR="00A96350">
              <w:rPr>
                <w:noProof/>
                <w:webHidden/>
              </w:rPr>
              <w:t>10</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47" w:history="1">
            <w:r w:rsidRPr="008407E3">
              <w:rPr>
                <w:rStyle w:val="Hypertextovodkaz"/>
                <w:rFonts w:eastAsia="Times New Roman"/>
                <w:noProof/>
                <w:lang w:eastAsia="cs-CZ"/>
              </w:rPr>
              <w:t>b) Rada</w:t>
            </w:r>
            <w:r>
              <w:rPr>
                <w:noProof/>
                <w:webHidden/>
              </w:rPr>
              <w:tab/>
            </w:r>
            <w:r>
              <w:rPr>
                <w:noProof/>
                <w:webHidden/>
              </w:rPr>
              <w:fldChar w:fldCharType="begin"/>
            </w:r>
            <w:r>
              <w:rPr>
                <w:noProof/>
                <w:webHidden/>
              </w:rPr>
              <w:instrText xml:space="preserve"> PAGEREF _Toc282320147 \h </w:instrText>
            </w:r>
            <w:r>
              <w:rPr>
                <w:noProof/>
                <w:webHidden/>
              </w:rPr>
            </w:r>
            <w:r>
              <w:rPr>
                <w:noProof/>
                <w:webHidden/>
              </w:rPr>
              <w:fldChar w:fldCharType="separate"/>
            </w:r>
            <w:r w:rsidR="00A96350">
              <w:rPr>
                <w:noProof/>
                <w:webHidden/>
              </w:rPr>
              <w:t>10</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48" w:history="1">
            <w:r w:rsidRPr="008407E3">
              <w:rPr>
                <w:rStyle w:val="Hypertextovodkaz"/>
                <w:rFonts w:eastAsia="Times New Roman"/>
                <w:noProof/>
                <w:lang w:eastAsia="cs-CZ"/>
              </w:rPr>
              <w:t>c) Komise</w:t>
            </w:r>
            <w:r>
              <w:rPr>
                <w:noProof/>
                <w:webHidden/>
              </w:rPr>
              <w:tab/>
            </w:r>
            <w:r>
              <w:rPr>
                <w:noProof/>
                <w:webHidden/>
              </w:rPr>
              <w:fldChar w:fldCharType="begin"/>
            </w:r>
            <w:r>
              <w:rPr>
                <w:noProof/>
                <w:webHidden/>
              </w:rPr>
              <w:instrText xml:space="preserve"> PAGEREF _Toc282320148 \h </w:instrText>
            </w:r>
            <w:r>
              <w:rPr>
                <w:noProof/>
                <w:webHidden/>
              </w:rPr>
            </w:r>
            <w:r>
              <w:rPr>
                <w:noProof/>
                <w:webHidden/>
              </w:rPr>
              <w:fldChar w:fldCharType="separate"/>
            </w:r>
            <w:r w:rsidR="00A96350">
              <w:rPr>
                <w:noProof/>
                <w:webHidden/>
              </w:rPr>
              <w:t>10</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49" w:history="1">
            <w:r w:rsidRPr="008407E3">
              <w:rPr>
                <w:rStyle w:val="Hypertextovodkaz"/>
                <w:rFonts w:eastAsia="Times New Roman"/>
                <w:noProof/>
                <w:lang w:eastAsia="cs-CZ"/>
              </w:rPr>
              <w:t>d) Evropský parlament</w:t>
            </w:r>
            <w:r>
              <w:rPr>
                <w:noProof/>
                <w:webHidden/>
              </w:rPr>
              <w:tab/>
            </w:r>
            <w:r>
              <w:rPr>
                <w:noProof/>
                <w:webHidden/>
              </w:rPr>
              <w:fldChar w:fldCharType="begin"/>
            </w:r>
            <w:r>
              <w:rPr>
                <w:noProof/>
                <w:webHidden/>
              </w:rPr>
              <w:instrText xml:space="preserve"> PAGEREF _Toc282320149 \h </w:instrText>
            </w:r>
            <w:r>
              <w:rPr>
                <w:noProof/>
                <w:webHidden/>
              </w:rPr>
            </w:r>
            <w:r>
              <w:rPr>
                <w:noProof/>
                <w:webHidden/>
              </w:rPr>
              <w:fldChar w:fldCharType="separate"/>
            </w:r>
            <w:r w:rsidR="00A96350">
              <w:rPr>
                <w:noProof/>
                <w:webHidden/>
              </w:rPr>
              <w:t>11</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50" w:history="1">
            <w:r w:rsidRPr="008407E3">
              <w:rPr>
                <w:rStyle w:val="Hypertextovodkaz"/>
                <w:rFonts w:eastAsia="Times New Roman"/>
                <w:noProof/>
                <w:lang w:eastAsia="cs-CZ"/>
              </w:rPr>
              <w:t>e) ESD</w:t>
            </w:r>
            <w:r>
              <w:rPr>
                <w:noProof/>
                <w:webHidden/>
              </w:rPr>
              <w:tab/>
            </w:r>
            <w:r>
              <w:rPr>
                <w:noProof/>
                <w:webHidden/>
              </w:rPr>
              <w:fldChar w:fldCharType="begin"/>
            </w:r>
            <w:r>
              <w:rPr>
                <w:noProof/>
                <w:webHidden/>
              </w:rPr>
              <w:instrText xml:space="preserve"> PAGEREF _Toc282320150 \h </w:instrText>
            </w:r>
            <w:r>
              <w:rPr>
                <w:noProof/>
                <w:webHidden/>
              </w:rPr>
            </w:r>
            <w:r>
              <w:rPr>
                <w:noProof/>
                <w:webHidden/>
              </w:rPr>
              <w:fldChar w:fldCharType="separate"/>
            </w:r>
            <w:r w:rsidR="00A96350">
              <w:rPr>
                <w:noProof/>
                <w:webHidden/>
              </w:rPr>
              <w:t>11</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51" w:history="1">
            <w:r w:rsidRPr="008407E3">
              <w:rPr>
                <w:rStyle w:val="Hypertextovodkaz"/>
                <w:rFonts w:eastAsia="Times New Roman"/>
                <w:noProof/>
                <w:lang w:eastAsia="cs-CZ"/>
              </w:rPr>
              <w:t>f) Ostatní orgány</w:t>
            </w:r>
            <w:r>
              <w:rPr>
                <w:noProof/>
                <w:webHidden/>
              </w:rPr>
              <w:tab/>
            </w:r>
            <w:r>
              <w:rPr>
                <w:noProof/>
                <w:webHidden/>
              </w:rPr>
              <w:fldChar w:fldCharType="begin"/>
            </w:r>
            <w:r>
              <w:rPr>
                <w:noProof/>
                <w:webHidden/>
              </w:rPr>
              <w:instrText xml:space="preserve"> PAGEREF _Toc282320151 \h </w:instrText>
            </w:r>
            <w:r>
              <w:rPr>
                <w:noProof/>
                <w:webHidden/>
              </w:rPr>
            </w:r>
            <w:r>
              <w:rPr>
                <w:noProof/>
                <w:webHidden/>
              </w:rPr>
              <w:fldChar w:fldCharType="separate"/>
            </w:r>
            <w:r w:rsidR="00A96350">
              <w:rPr>
                <w:noProof/>
                <w:webHidden/>
              </w:rPr>
              <w:t>11</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52" w:history="1">
            <w:r w:rsidRPr="008407E3">
              <w:rPr>
                <w:rStyle w:val="Hypertextovodkaz"/>
                <w:rFonts w:eastAsia="Times New Roman"/>
                <w:noProof/>
                <w:lang w:eastAsia="cs-CZ"/>
              </w:rPr>
              <w:t>8. Le</w:t>
            </w:r>
            <w:r w:rsidRPr="008407E3">
              <w:rPr>
                <w:rStyle w:val="Hypertextovodkaz"/>
                <w:rFonts w:eastAsia="Times New Roman"/>
                <w:noProof/>
                <w:lang w:eastAsia="cs-CZ"/>
              </w:rPr>
              <w:t>g</w:t>
            </w:r>
            <w:r w:rsidRPr="008407E3">
              <w:rPr>
                <w:rStyle w:val="Hypertextovodkaz"/>
                <w:rFonts w:eastAsia="Times New Roman"/>
                <w:noProof/>
                <w:lang w:eastAsia="cs-CZ"/>
              </w:rPr>
              <w:t>islativní proces v EU</w:t>
            </w:r>
            <w:r>
              <w:rPr>
                <w:noProof/>
                <w:webHidden/>
              </w:rPr>
              <w:tab/>
            </w:r>
            <w:r>
              <w:rPr>
                <w:noProof/>
                <w:webHidden/>
              </w:rPr>
              <w:fldChar w:fldCharType="begin"/>
            </w:r>
            <w:r>
              <w:rPr>
                <w:noProof/>
                <w:webHidden/>
              </w:rPr>
              <w:instrText xml:space="preserve"> PAGEREF _Toc282320152 \h </w:instrText>
            </w:r>
            <w:r>
              <w:rPr>
                <w:noProof/>
                <w:webHidden/>
              </w:rPr>
            </w:r>
            <w:r>
              <w:rPr>
                <w:noProof/>
                <w:webHidden/>
              </w:rPr>
              <w:fldChar w:fldCharType="separate"/>
            </w:r>
            <w:r w:rsidR="00A96350">
              <w:rPr>
                <w:noProof/>
                <w:webHidden/>
              </w:rPr>
              <w:t>13</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53" w:history="1">
            <w:r w:rsidRPr="008407E3">
              <w:rPr>
                <w:rStyle w:val="Hypertextovodkaz"/>
                <w:rFonts w:eastAsia="Times New Roman"/>
                <w:noProof/>
                <w:lang w:eastAsia="cs-CZ"/>
              </w:rPr>
              <w:t>a) řádný legislativní postup</w:t>
            </w:r>
            <w:r>
              <w:rPr>
                <w:noProof/>
                <w:webHidden/>
              </w:rPr>
              <w:tab/>
            </w:r>
            <w:r>
              <w:rPr>
                <w:noProof/>
                <w:webHidden/>
              </w:rPr>
              <w:fldChar w:fldCharType="begin"/>
            </w:r>
            <w:r>
              <w:rPr>
                <w:noProof/>
                <w:webHidden/>
              </w:rPr>
              <w:instrText xml:space="preserve"> PAGEREF _Toc282320153 \h </w:instrText>
            </w:r>
            <w:r>
              <w:rPr>
                <w:noProof/>
                <w:webHidden/>
              </w:rPr>
            </w:r>
            <w:r>
              <w:rPr>
                <w:noProof/>
                <w:webHidden/>
              </w:rPr>
              <w:fldChar w:fldCharType="separate"/>
            </w:r>
            <w:r w:rsidR="00A96350">
              <w:rPr>
                <w:noProof/>
                <w:webHidden/>
              </w:rPr>
              <w:t>13</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54" w:history="1">
            <w:r w:rsidRPr="008407E3">
              <w:rPr>
                <w:rStyle w:val="Hypertextovodkaz"/>
                <w:rFonts w:eastAsia="Times New Roman"/>
                <w:noProof/>
                <w:lang w:eastAsia="cs-CZ"/>
              </w:rPr>
              <w:t>b) zvláštní legislativní postup</w:t>
            </w:r>
            <w:r>
              <w:rPr>
                <w:noProof/>
                <w:webHidden/>
              </w:rPr>
              <w:tab/>
            </w:r>
            <w:r>
              <w:rPr>
                <w:noProof/>
                <w:webHidden/>
              </w:rPr>
              <w:fldChar w:fldCharType="begin"/>
            </w:r>
            <w:r>
              <w:rPr>
                <w:noProof/>
                <w:webHidden/>
              </w:rPr>
              <w:instrText xml:space="preserve"> PAGEREF _Toc282320154 \h </w:instrText>
            </w:r>
            <w:r>
              <w:rPr>
                <w:noProof/>
                <w:webHidden/>
              </w:rPr>
            </w:r>
            <w:r>
              <w:rPr>
                <w:noProof/>
                <w:webHidden/>
              </w:rPr>
              <w:fldChar w:fldCharType="separate"/>
            </w:r>
            <w:r w:rsidR="00A96350">
              <w:rPr>
                <w:noProof/>
                <w:webHidden/>
              </w:rPr>
              <w:t>13</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55" w:history="1">
            <w:r w:rsidRPr="008407E3">
              <w:rPr>
                <w:rStyle w:val="Hypertextovodkaz"/>
                <w:rFonts w:eastAsia="Times New Roman"/>
                <w:noProof/>
                <w:lang w:eastAsia="cs-CZ"/>
              </w:rPr>
              <w:t>9. Základní druhy řízení před ESD</w:t>
            </w:r>
            <w:r>
              <w:rPr>
                <w:noProof/>
                <w:webHidden/>
              </w:rPr>
              <w:tab/>
            </w:r>
            <w:r>
              <w:rPr>
                <w:noProof/>
                <w:webHidden/>
              </w:rPr>
              <w:fldChar w:fldCharType="begin"/>
            </w:r>
            <w:r>
              <w:rPr>
                <w:noProof/>
                <w:webHidden/>
              </w:rPr>
              <w:instrText xml:space="preserve"> PAGEREF _Toc282320155 \h </w:instrText>
            </w:r>
            <w:r>
              <w:rPr>
                <w:noProof/>
                <w:webHidden/>
              </w:rPr>
            </w:r>
            <w:r>
              <w:rPr>
                <w:noProof/>
                <w:webHidden/>
              </w:rPr>
              <w:fldChar w:fldCharType="separate"/>
            </w:r>
            <w:r w:rsidR="00A96350">
              <w:rPr>
                <w:noProof/>
                <w:webHidden/>
              </w:rPr>
              <w:t>14</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56" w:history="1">
            <w:r w:rsidRPr="008407E3">
              <w:rPr>
                <w:rStyle w:val="Hypertextovodkaz"/>
                <w:rFonts w:eastAsia="Times New Roman"/>
                <w:noProof/>
                <w:lang w:eastAsia="cs-CZ"/>
              </w:rPr>
              <w:t>a) řízení o žalobě pro nesplnění povinnosti</w:t>
            </w:r>
            <w:r>
              <w:rPr>
                <w:noProof/>
                <w:webHidden/>
              </w:rPr>
              <w:tab/>
            </w:r>
            <w:r>
              <w:rPr>
                <w:noProof/>
                <w:webHidden/>
              </w:rPr>
              <w:fldChar w:fldCharType="begin"/>
            </w:r>
            <w:r>
              <w:rPr>
                <w:noProof/>
                <w:webHidden/>
              </w:rPr>
              <w:instrText xml:space="preserve"> PAGEREF _Toc282320156 \h </w:instrText>
            </w:r>
            <w:r>
              <w:rPr>
                <w:noProof/>
                <w:webHidden/>
              </w:rPr>
            </w:r>
            <w:r>
              <w:rPr>
                <w:noProof/>
                <w:webHidden/>
              </w:rPr>
              <w:fldChar w:fldCharType="separate"/>
            </w:r>
            <w:r w:rsidR="00A96350">
              <w:rPr>
                <w:noProof/>
                <w:webHidden/>
              </w:rPr>
              <w:t>14</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57" w:history="1">
            <w:r w:rsidRPr="008407E3">
              <w:rPr>
                <w:rStyle w:val="Hypertextovodkaz"/>
                <w:rFonts w:eastAsia="Times New Roman"/>
                <w:noProof/>
                <w:lang w:eastAsia="cs-CZ"/>
              </w:rPr>
              <w:t>b) řízení o žalobě na neplatnost</w:t>
            </w:r>
            <w:r>
              <w:rPr>
                <w:noProof/>
                <w:webHidden/>
              </w:rPr>
              <w:tab/>
            </w:r>
            <w:r>
              <w:rPr>
                <w:noProof/>
                <w:webHidden/>
              </w:rPr>
              <w:fldChar w:fldCharType="begin"/>
            </w:r>
            <w:r>
              <w:rPr>
                <w:noProof/>
                <w:webHidden/>
              </w:rPr>
              <w:instrText xml:space="preserve"> PAGEREF _Toc282320157 \h </w:instrText>
            </w:r>
            <w:r>
              <w:rPr>
                <w:noProof/>
                <w:webHidden/>
              </w:rPr>
            </w:r>
            <w:r>
              <w:rPr>
                <w:noProof/>
                <w:webHidden/>
              </w:rPr>
              <w:fldChar w:fldCharType="separate"/>
            </w:r>
            <w:r w:rsidR="00A96350">
              <w:rPr>
                <w:noProof/>
                <w:webHidden/>
              </w:rPr>
              <w:t>14</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58" w:history="1">
            <w:r w:rsidRPr="008407E3">
              <w:rPr>
                <w:rStyle w:val="Hypertextovodkaz"/>
                <w:rFonts w:eastAsia="Times New Roman"/>
                <w:noProof/>
                <w:lang w:eastAsia="cs-CZ"/>
              </w:rPr>
              <w:t>c) řízení o předběžné otázce</w:t>
            </w:r>
            <w:r>
              <w:rPr>
                <w:noProof/>
                <w:webHidden/>
              </w:rPr>
              <w:tab/>
            </w:r>
            <w:r>
              <w:rPr>
                <w:noProof/>
                <w:webHidden/>
              </w:rPr>
              <w:fldChar w:fldCharType="begin"/>
            </w:r>
            <w:r>
              <w:rPr>
                <w:noProof/>
                <w:webHidden/>
              </w:rPr>
              <w:instrText xml:space="preserve"> PAGEREF _Toc282320158 \h </w:instrText>
            </w:r>
            <w:r>
              <w:rPr>
                <w:noProof/>
                <w:webHidden/>
              </w:rPr>
            </w:r>
            <w:r>
              <w:rPr>
                <w:noProof/>
                <w:webHidden/>
              </w:rPr>
              <w:fldChar w:fldCharType="separate"/>
            </w:r>
            <w:r w:rsidR="00A96350">
              <w:rPr>
                <w:noProof/>
                <w:webHidden/>
              </w:rPr>
              <w:t>14</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59" w:history="1">
            <w:r w:rsidRPr="008407E3">
              <w:rPr>
                <w:rStyle w:val="Hypertextovodkaz"/>
                <w:rFonts w:eastAsia="Times New Roman"/>
                <w:noProof/>
                <w:lang w:eastAsia="cs-CZ"/>
              </w:rPr>
              <w:t>10. Rozpočet EU</w:t>
            </w:r>
            <w:r>
              <w:rPr>
                <w:noProof/>
                <w:webHidden/>
              </w:rPr>
              <w:tab/>
            </w:r>
            <w:r>
              <w:rPr>
                <w:noProof/>
                <w:webHidden/>
              </w:rPr>
              <w:fldChar w:fldCharType="begin"/>
            </w:r>
            <w:r>
              <w:rPr>
                <w:noProof/>
                <w:webHidden/>
              </w:rPr>
              <w:instrText xml:space="preserve"> PAGEREF _Toc282320159 \h </w:instrText>
            </w:r>
            <w:r>
              <w:rPr>
                <w:noProof/>
                <w:webHidden/>
              </w:rPr>
            </w:r>
            <w:r>
              <w:rPr>
                <w:noProof/>
                <w:webHidden/>
              </w:rPr>
              <w:fldChar w:fldCharType="separate"/>
            </w:r>
            <w:r w:rsidR="00A96350">
              <w:rPr>
                <w:noProof/>
                <w:webHidden/>
              </w:rPr>
              <w:t>15</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60" w:history="1">
            <w:r w:rsidRPr="008407E3">
              <w:rPr>
                <w:rStyle w:val="Hypertextovodkaz"/>
                <w:rFonts w:eastAsia="Times New Roman"/>
                <w:noProof/>
                <w:lang w:eastAsia="cs-CZ"/>
              </w:rPr>
              <w:t>a) rozpočtové zdroje</w:t>
            </w:r>
            <w:r>
              <w:rPr>
                <w:noProof/>
                <w:webHidden/>
              </w:rPr>
              <w:tab/>
            </w:r>
            <w:r>
              <w:rPr>
                <w:noProof/>
                <w:webHidden/>
              </w:rPr>
              <w:fldChar w:fldCharType="begin"/>
            </w:r>
            <w:r>
              <w:rPr>
                <w:noProof/>
                <w:webHidden/>
              </w:rPr>
              <w:instrText xml:space="preserve"> PAGEREF _Toc282320160 \h </w:instrText>
            </w:r>
            <w:r>
              <w:rPr>
                <w:noProof/>
                <w:webHidden/>
              </w:rPr>
            </w:r>
            <w:r>
              <w:rPr>
                <w:noProof/>
                <w:webHidden/>
              </w:rPr>
              <w:fldChar w:fldCharType="separate"/>
            </w:r>
            <w:r w:rsidR="00A96350">
              <w:rPr>
                <w:noProof/>
                <w:webHidden/>
              </w:rPr>
              <w:t>15</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61" w:history="1">
            <w:r w:rsidRPr="008407E3">
              <w:rPr>
                <w:rStyle w:val="Hypertextovodkaz"/>
                <w:rFonts w:eastAsia="Times New Roman"/>
                <w:noProof/>
                <w:lang w:eastAsia="cs-CZ"/>
              </w:rPr>
              <w:t>b) rozpočtové výdaje</w:t>
            </w:r>
            <w:r>
              <w:rPr>
                <w:noProof/>
                <w:webHidden/>
              </w:rPr>
              <w:tab/>
            </w:r>
            <w:r>
              <w:rPr>
                <w:noProof/>
                <w:webHidden/>
              </w:rPr>
              <w:fldChar w:fldCharType="begin"/>
            </w:r>
            <w:r>
              <w:rPr>
                <w:noProof/>
                <w:webHidden/>
              </w:rPr>
              <w:instrText xml:space="preserve"> PAGEREF _Toc282320161 \h </w:instrText>
            </w:r>
            <w:r>
              <w:rPr>
                <w:noProof/>
                <w:webHidden/>
              </w:rPr>
            </w:r>
            <w:r>
              <w:rPr>
                <w:noProof/>
                <w:webHidden/>
              </w:rPr>
              <w:fldChar w:fldCharType="separate"/>
            </w:r>
            <w:r w:rsidR="00A96350">
              <w:rPr>
                <w:noProof/>
                <w:webHidden/>
              </w:rPr>
              <w:t>15</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62" w:history="1">
            <w:r w:rsidRPr="008407E3">
              <w:rPr>
                <w:rStyle w:val="Hypertextovodkaz"/>
                <w:rFonts w:eastAsia="Times New Roman"/>
                <w:noProof/>
                <w:lang w:eastAsia="cs-CZ"/>
              </w:rPr>
              <w:t>c) schvalování rozpočtu</w:t>
            </w:r>
            <w:r>
              <w:rPr>
                <w:noProof/>
                <w:webHidden/>
              </w:rPr>
              <w:tab/>
            </w:r>
            <w:r>
              <w:rPr>
                <w:noProof/>
                <w:webHidden/>
              </w:rPr>
              <w:fldChar w:fldCharType="begin"/>
            </w:r>
            <w:r>
              <w:rPr>
                <w:noProof/>
                <w:webHidden/>
              </w:rPr>
              <w:instrText xml:space="preserve"> PAGEREF _Toc282320162 \h </w:instrText>
            </w:r>
            <w:r>
              <w:rPr>
                <w:noProof/>
                <w:webHidden/>
              </w:rPr>
            </w:r>
            <w:r>
              <w:rPr>
                <w:noProof/>
                <w:webHidden/>
              </w:rPr>
              <w:fldChar w:fldCharType="separate"/>
            </w:r>
            <w:r w:rsidR="00A96350">
              <w:rPr>
                <w:noProof/>
                <w:webHidden/>
              </w:rPr>
              <w:t>15</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63" w:history="1">
            <w:r w:rsidRPr="008407E3">
              <w:rPr>
                <w:rStyle w:val="Hypertextovodkaz"/>
                <w:rFonts w:eastAsia="Times New Roman"/>
                <w:noProof/>
                <w:lang w:eastAsia="cs-CZ"/>
              </w:rPr>
              <w:t>11. Měnová unie</w:t>
            </w:r>
            <w:r>
              <w:rPr>
                <w:noProof/>
                <w:webHidden/>
              </w:rPr>
              <w:tab/>
            </w:r>
            <w:r>
              <w:rPr>
                <w:noProof/>
                <w:webHidden/>
              </w:rPr>
              <w:fldChar w:fldCharType="begin"/>
            </w:r>
            <w:r>
              <w:rPr>
                <w:noProof/>
                <w:webHidden/>
              </w:rPr>
              <w:instrText xml:space="preserve"> PAGEREF _Toc282320163 \h </w:instrText>
            </w:r>
            <w:r>
              <w:rPr>
                <w:noProof/>
                <w:webHidden/>
              </w:rPr>
            </w:r>
            <w:r>
              <w:rPr>
                <w:noProof/>
                <w:webHidden/>
              </w:rPr>
              <w:fldChar w:fldCharType="separate"/>
            </w:r>
            <w:r w:rsidR="00A96350">
              <w:rPr>
                <w:noProof/>
                <w:webHidden/>
              </w:rPr>
              <w:t>16</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64" w:history="1">
            <w:r w:rsidRPr="008407E3">
              <w:rPr>
                <w:rStyle w:val="Hypertextovodkaz"/>
                <w:rFonts w:eastAsia="Times New Roman"/>
                <w:noProof/>
                <w:lang w:eastAsia="cs-CZ"/>
              </w:rPr>
              <w:t>a) Konvergenční kritéria</w:t>
            </w:r>
            <w:r>
              <w:rPr>
                <w:noProof/>
                <w:webHidden/>
              </w:rPr>
              <w:tab/>
            </w:r>
            <w:r>
              <w:rPr>
                <w:noProof/>
                <w:webHidden/>
              </w:rPr>
              <w:fldChar w:fldCharType="begin"/>
            </w:r>
            <w:r>
              <w:rPr>
                <w:noProof/>
                <w:webHidden/>
              </w:rPr>
              <w:instrText xml:space="preserve"> PAGEREF _Toc282320164 \h </w:instrText>
            </w:r>
            <w:r>
              <w:rPr>
                <w:noProof/>
                <w:webHidden/>
              </w:rPr>
            </w:r>
            <w:r>
              <w:rPr>
                <w:noProof/>
                <w:webHidden/>
              </w:rPr>
              <w:fldChar w:fldCharType="separate"/>
            </w:r>
            <w:r w:rsidR="00A96350">
              <w:rPr>
                <w:noProof/>
                <w:webHidden/>
              </w:rPr>
              <w:t>16</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65" w:history="1">
            <w:r w:rsidRPr="008407E3">
              <w:rPr>
                <w:rStyle w:val="Hypertextovodkaz"/>
                <w:rFonts w:eastAsia="Times New Roman"/>
                <w:noProof/>
                <w:lang w:eastAsia="cs-CZ"/>
              </w:rPr>
              <w:t>b) Pakt stability a růstu</w:t>
            </w:r>
            <w:r>
              <w:rPr>
                <w:noProof/>
                <w:webHidden/>
              </w:rPr>
              <w:tab/>
            </w:r>
            <w:r>
              <w:rPr>
                <w:noProof/>
                <w:webHidden/>
              </w:rPr>
              <w:fldChar w:fldCharType="begin"/>
            </w:r>
            <w:r>
              <w:rPr>
                <w:noProof/>
                <w:webHidden/>
              </w:rPr>
              <w:instrText xml:space="preserve"> PAGEREF _Toc282320165 \h </w:instrText>
            </w:r>
            <w:r>
              <w:rPr>
                <w:noProof/>
                <w:webHidden/>
              </w:rPr>
            </w:r>
            <w:r>
              <w:rPr>
                <w:noProof/>
                <w:webHidden/>
              </w:rPr>
              <w:fldChar w:fldCharType="separate"/>
            </w:r>
            <w:r w:rsidR="00A96350">
              <w:rPr>
                <w:noProof/>
                <w:webHidden/>
              </w:rPr>
              <w:t>16</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66" w:history="1">
            <w:r w:rsidRPr="008407E3">
              <w:rPr>
                <w:rStyle w:val="Hypertextovodkaz"/>
                <w:rFonts w:eastAsia="Times New Roman"/>
                <w:noProof/>
                <w:lang w:eastAsia="cs-CZ"/>
              </w:rPr>
              <w:t>c) instituce</w:t>
            </w:r>
            <w:r>
              <w:rPr>
                <w:noProof/>
                <w:webHidden/>
              </w:rPr>
              <w:tab/>
            </w:r>
            <w:r>
              <w:rPr>
                <w:noProof/>
                <w:webHidden/>
              </w:rPr>
              <w:fldChar w:fldCharType="begin"/>
            </w:r>
            <w:r>
              <w:rPr>
                <w:noProof/>
                <w:webHidden/>
              </w:rPr>
              <w:instrText xml:space="preserve"> PAGEREF _Toc282320166 \h </w:instrText>
            </w:r>
            <w:r>
              <w:rPr>
                <w:noProof/>
                <w:webHidden/>
              </w:rPr>
            </w:r>
            <w:r>
              <w:rPr>
                <w:noProof/>
                <w:webHidden/>
              </w:rPr>
              <w:fldChar w:fldCharType="separate"/>
            </w:r>
            <w:r w:rsidR="00A96350">
              <w:rPr>
                <w:noProof/>
                <w:webHidden/>
              </w:rPr>
              <w:t>16</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67" w:history="1">
            <w:r w:rsidRPr="008407E3">
              <w:rPr>
                <w:rStyle w:val="Hypertextovodkaz"/>
                <w:rFonts w:eastAsia="Times New Roman"/>
                <w:noProof/>
                <w:lang w:eastAsia="cs-CZ"/>
              </w:rPr>
              <w:t>12. Vnitřní trh EU</w:t>
            </w:r>
            <w:r>
              <w:rPr>
                <w:noProof/>
                <w:webHidden/>
              </w:rPr>
              <w:tab/>
            </w:r>
            <w:r>
              <w:rPr>
                <w:noProof/>
                <w:webHidden/>
              </w:rPr>
              <w:fldChar w:fldCharType="begin"/>
            </w:r>
            <w:r>
              <w:rPr>
                <w:noProof/>
                <w:webHidden/>
              </w:rPr>
              <w:instrText xml:space="preserve"> PAGEREF _Toc282320167 \h </w:instrText>
            </w:r>
            <w:r>
              <w:rPr>
                <w:noProof/>
                <w:webHidden/>
              </w:rPr>
            </w:r>
            <w:r>
              <w:rPr>
                <w:noProof/>
                <w:webHidden/>
              </w:rPr>
              <w:fldChar w:fldCharType="separate"/>
            </w:r>
            <w:r w:rsidR="00A96350">
              <w:rPr>
                <w:noProof/>
                <w:webHidden/>
              </w:rPr>
              <w:t>17</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68" w:history="1">
            <w:r w:rsidRPr="008407E3">
              <w:rPr>
                <w:rStyle w:val="Hypertextovodkaz"/>
                <w:rFonts w:eastAsia="Times New Roman"/>
                <w:noProof/>
                <w:lang w:eastAsia="cs-CZ"/>
              </w:rPr>
              <w:t>a) základní charakteristika</w:t>
            </w:r>
            <w:r>
              <w:rPr>
                <w:noProof/>
                <w:webHidden/>
              </w:rPr>
              <w:tab/>
            </w:r>
            <w:r>
              <w:rPr>
                <w:noProof/>
                <w:webHidden/>
              </w:rPr>
              <w:fldChar w:fldCharType="begin"/>
            </w:r>
            <w:r>
              <w:rPr>
                <w:noProof/>
                <w:webHidden/>
              </w:rPr>
              <w:instrText xml:space="preserve"> PAGEREF _Toc282320168 \h </w:instrText>
            </w:r>
            <w:r>
              <w:rPr>
                <w:noProof/>
                <w:webHidden/>
              </w:rPr>
            </w:r>
            <w:r>
              <w:rPr>
                <w:noProof/>
                <w:webHidden/>
              </w:rPr>
              <w:fldChar w:fldCharType="separate"/>
            </w:r>
            <w:r w:rsidR="00A96350">
              <w:rPr>
                <w:noProof/>
                <w:webHidden/>
              </w:rPr>
              <w:t>17</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69" w:history="1">
            <w:r w:rsidRPr="008407E3">
              <w:rPr>
                <w:rStyle w:val="Hypertextovodkaz"/>
                <w:rFonts w:eastAsia="Times New Roman"/>
                <w:noProof/>
                <w:lang w:eastAsia="cs-CZ"/>
              </w:rPr>
              <w:t>b) Volný pohyb zboží</w:t>
            </w:r>
            <w:r>
              <w:rPr>
                <w:noProof/>
                <w:webHidden/>
              </w:rPr>
              <w:tab/>
            </w:r>
            <w:r>
              <w:rPr>
                <w:noProof/>
                <w:webHidden/>
              </w:rPr>
              <w:fldChar w:fldCharType="begin"/>
            </w:r>
            <w:r>
              <w:rPr>
                <w:noProof/>
                <w:webHidden/>
              </w:rPr>
              <w:instrText xml:space="preserve"> PAGEREF _Toc282320169 \h </w:instrText>
            </w:r>
            <w:r>
              <w:rPr>
                <w:noProof/>
                <w:webHidden/>
              </w:rPr>
            </w:r>
            <w:r>
              <w:rPr>
                <w:noProof/>
                <w:webHidden/>
              </w:rPr>
              <w:fldChar w:fldCharType="separate"/>
            </w:r>
            <w:r w:rsidR="00A96350">
              <w:rPr>
                <w:noProof/>
                <w:webHidden/>
              </w:rPr>
              <w:t>17</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70" w:history="1">
            <w:r w:rsidRPr="008407E3">
              <w:rPr>
                <w:rStyle w:val="Hypertextovodkaz"/>
                <w:rFonts w:eastAsia="Times New Roman"/>
                <w:noProof/>
                <w:lang w:eastAsia="cs-CZ"/>
              </w:rPr>
              <w:t>13. Soutěžní právo EU a vybrané politiky EU</w:t>
            </w:r>
            <w:r>
              <w:rPr>
                <w:noProof/>
                <w:webHidden/>
              </w:rPr>
              <w:tab/>
            </w:r>
            <w:r>
              <w:rPr>
                <w:noProof/>
                <w:webHidden/>
              </w:rPr>
              <w:fldChar w:fldCharType="begin"/>
            </w:r>
            <w:r>
              <w:rPr>
                <w:noProof/>
                <w:webHidden/>
              </w:rPr>
              <w:instrText xml:space="preserve"> PAGEREF _Toc282320170 \h </w:instrText>
            </w:r>
            <w:r>
              <w:rPr>
                <w:noProof/>
                <w:webHidden/>
              </w:rPr>
            </w:r>
            <w:r>
              <w:rPr>
                <w:noProof/>
                <w:webHidden/>
              </w:rPr>
              <w:fldChar w:fldCharType="separate"/>
            </w:r>
            <w:r w:rsidR="00A96350">
              <w:rPr>
                <w:noProof/>
                <w:webHidden/>
              </w:rPr>
              <w:t>18</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71" w:history="1">
            <w:r w:rsidRPr="008407E3">
              <w:rPr>
                <w:rStyle w:val="Hypertextovodkaz"/>
                <w:rFonts w:eastAsia="Times New Roman"/>
                <w:noProof/>
                <w:lang w:eastAsia="cs-CZ"/>
              </w:rPr>
              <w:t>a) komplementarita k úpravě společného trhu</w:t>
            </w:r>
            <w:r>
              <w:rPr>
                <w:noProof/>
                <w:webHidden/>
              </w:rPr>
              <w:tab/>
            </w:r>
            <w:r>
              <w:rPr>
                <w:noProof/>
                <w:webHidden/>
              </w:rPr>
              <w:fldChar w:fldCharType="begin"/>
            </w:r>
            <w:r>
              <w:rPr>
                <w:noProof/>
                <w:webHidden/>
              </w:rPr>
              <w:instrText xml:space="preserve"> PAGEREF _Toc282320171 \h </w:instrText>
            </w:r>
            <w:r>
              <w:rPr>
                <w:noProof/>
                <w:webHidden/>
              </w:rPr>
            </w:r>
            <w:r>
              <w:rPr>
                <w:noProof/>
                <w:webHidden/>
              </w:rPr>
              <w:fldChar w:fldCharType="separate"/>
            </w:r>
            <w:r w:rsidR="00A96350">
              <w:rPr>
                <w:noProof/>
                <w:webHidden/>
              </w:rPr>
              <w:t>18</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72" w:history="1">
            <w:r w:rsidRPr="008407E3">
              <w:rPr>
                <w:rStyle w:val="Hypertextovodkaz"/>
                <w:rFonts w:eastAsia="Times New Roman"/>
                <w:noProof/>
                <w:lang w:eastAsia="cs-CZ"/>
              </w:rPr>
              <w:t>b) zákaz kartelů</w:t>
            </w:r>
            <w:r>
              <w:rPr>
                <w:noProof/>
                <w:webHidden/>
              </w:rPr>
              <w:tab/>
            </w:r>
            <w:r>
              <w:rPr>
                <w:noProof/>
                <w:webHidden/>
              </w:rPr>
              <w:fldChar w:fldCharType="begin"/>
            </w:r>
            <w:r>
              <w:rPr>
                <w:noProof/>
                <w:webHidden/>
              </w:rPr>
              <w:instrText xml:space="preserve"> PAGEREF _Toc282320172 \h </w:instrText>
            </w:r>
            <w:r>
              <w:rPr>
                <w:noProof/>
                <w:webHidden/>
              </w:rPr>
            </w:r>
            <w:r>
              <w:rPr>
                <w:noProof/>
                <w:webHidden/>
              </w:rPr>
              <w:fldChar w:fldCharType="separate"/>
            </w:r>
            <w:r w:rsidR="00A96350">
              <w:rPr>
                <w:noProof/>
                <w:webHidden/>
              </w:rPr>
              <w:t>18</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73" w:history="1">
            <w:r w:rsidRPr="008407E3">
              <w:rPr>
                <w:rStyle w:val="Hypertextovodkaz"/>
                <w:rFonts w:eastAsia="Times New Roman"/>
                <w:noProof/>
                <w:lang w:eastAsia="cs-CZ"/>
              </w:rPr>
              <w:t>c) zákaz zneužívání dominantního postavení</w:t>
            </w:r>
            <w:r>
              <w:rPr>
                <w:noProof/>
                <w:webHidden/>
              </w:rPr>
              <w:tab/>
            </w:r>
            <w:r>
              <w:rPr>
                <w:noProof/>
                <w:webHidden/>
              </w:rPr>
              <w:fldChar w:fldCharType="begin"/>
            </w:r>
            <w:r>
              <w:rPr>
                <w:noProof/>
                <w:webHidden/>
              </w:rPr>
              <w:instrText xml:space="preserve"> PAGEREF _Toc282320173 \h </w:instrText>
            </w:r>
            <w:r>
              <w:rPr>
                <w:noProof/>
                <w:webHidden/>
              </w:rPr>
            </w:r>
            <w:r>
              <w:rPr>
                <w:noProof/>
                <w:webHidden/>
              </w:rPr>
              <w:fldChar w:fldCharType="separate"/>
            </w:r>
            <w:r w:rsidR="00A96350">
              <w:rPr>
                <w:noProof/>
                <w:webHidden/>
              </w:rPr>
              <w:t>18</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74" w:history="1">
            <w:r w:rsidRPr="008407E3">
              <w:rPr>
                <w:rStyle w:val="Hypertextovodkaz"/>
                <w:rFonts w:eastAsia="Times New Roman"/>
                <w:noProof/>
                <w:lang w:eastAsia="cs-CZ"/>
              </w:rPr>
              <w:t>d) procesní aspekty</w:t>
            </w:r>
            <w:r>
              <w:rPr>
                <w:noProof/>
                <w:webHidden/>
              </w:rPr>
              <w:tab/>
            </w:r>
            <w:r>
              <w:rPr>
                <w:noProof/>
                <w:webHidden/>
              </w:rPr>
              <w:fldChar w:fldCharType="begin"/>
            </w:r>
            <w:r>
              <w:rPr>
                <w:noProof/>
                <w:webHidden/>
              </w:rPr>
              <w:instrText xml:space="preserve"> PAGEREF _Toc282320174 \h </w:instrText>
            </w:r>
            <w:r>
              <w:rPr>
                <w:noProof/>
                <w:webHidden/>
              </w:rPr>
            </w:r>
            <w:r>
              <w:rPr>
                <w:noProof/>
                <w:webHidden/>
              </w:rPr>
              <w:fldChar w:fldCharType="separate"/>
            </w:r>
            <w:r w:rsidR="00A96350">
              <w:rPr>
                <w:noProof/>
                <w:webHidden/>
              </w:rPr>
              <w:t>18</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75" w:history="1">
            <w:r w:rsidRPr="008407E3">
              <w:rPr>
                <w:rStyle w:val="Hypertextovodkaz"/>
                <w:rFonts w:eastAsia="Times New Roman"/>
                <w:noProof/>
                <w:lang w:eastAsia="cs-CZ"/>
              </w:rPr>
              <w:t>e) vybrané politiky EU</w:t>
            </w:r>
            <w:r>
              <w:rPr>
                <w:noProof/>
                <w:webHidden/>
              </w:rPr>
              <w:tab/>
            </w:r>
            <w:r>
              <w:rPr>
                <w:noProof/>
                <w:webHidden/>
              </w:rPr>
              <w:fldChar w:fldCharType="begin"/>
            </w:r>
            <w:r>
              <w:rPr>
                <w:noProof/>
                <w:webHidden/>
              </w:rPr>
              <w:instrText xml:space="preserve"> PAGEREF _Toc282320175 \h </w:instrText>
            </w:r>
            <w:r>
              <w:rPr>
                <w:noProof/>
                <w:webHidden/>
              </w:rPr>
            </w:r>
            <w:r>
              <w:rPr>
                <w:noProof/>
                <w:webHidden/>
              </w:rPr>
              <w:fldChar w:fldCharType="separate"/>
            </w:r>
            <w:r w:rsidR="00A96350">
              <w:rPr>
                <w:noProof/>
                <w:webHidden/>
              </w:rPr>
              <w:t>18</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76" w:history="1">
            <w:r w:rsidRPr="008407E3">
              <w:rPr>
                <w:rStyle w:val="Hypertextovodkaz"/>
                <w:rFonts w:eastAsia="Times New Roman"/>
                <w:noProof/>
                <w:lang w:eastAsia="cs-CZ"/>
              </w:rPr>
              <w:t>14. SZBP - společná zahraniční a bezpečnostní politika EU</w:t>
            </w:r>
            <w:r>
              <w:rPr>
                <w:noProof/>
                <w:webHidden/>
              </w:rPr>
              <w:tab/>
            </w:r>
            <w:r>
              <w:rPr>
                <w:noProof/>
                <w:webHidden/>
              </w:rPr>
              <w:fldChar w:fldCharType="begin"/>
            </w:r>
            <w:r>
              <w:rPr>
                <w:noProof/>
                <w:webHidden/>
              </w:rPr>
              <w:instrText xml:space="preserve"> PAGEREF _Toc282320176 \h </w:instrText>
            </w:r>
            <w:r>
              <w:rPr>
                <w:noProof/>
                <w:webHidden/>
              </w:rPr>
            </w:r>
            <w:r>
              <w:rPr>
                <w:noProof/>
                <w:webHidden/>
              </w:rPr>
              <w:fldChar w:fldCharType="separate"/>
            </w:r>
            <w:r w:rsidR="00A96350">
              <w:rPr>
                <w:noProof/>
                <w:webHidden/>
              </w:rPr>
              <w:t>19</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77" w:history="1">
            <w:r w:rsidRPr="008407E3">
              <w:rPr>
                <w:rStyle w:val="Hypertextovodkaz"/>
                <w:rFonts w:eastAsia="Times New Roman"/>
                <w:noProof/>
                <w:lang w:eastAsia="cs-CZ"/>
              </w:rPr>
              <w:t>a) zvláštní statut SZBP</w:t>
            </w:r>
            <w:r>
              <w:rPr>
                <w:noProof/>
                <w:webHidden/>
              </w:rPr>
              <w:tab/>
            </w:r>
            <w:r>
              <w:rPr>
                <w:noProof/>
                <w:webHidden/>
              </w:rPr>
              <w:fldChar w:fldCharType="begin"/>
            </w:r>
            <w:r>
              <w:rPr>
                <w:noProof/>
                <w:webHidden/>
              </w:rPr>
              <w:instrText xml:space="preserve"> PAGEREF _Toc282320177 \h </w:instrText>
            </w:r>
            <w:r>
              <w:rPr>
                <w:noProof/>
                <w:webHidden/>
              </w:rPr>
            </w:r>
            <w:r>
              <w:rPr>
                <w:noProof/>
                <w:webHidden/>
              </w:rPr>
              <w:fldChar w:fldCharType="separate"/>
            </w:r>
            <w:r w:rsidR="00A96350">
              <w:rPr>
                <w:noProof/>
                <w:webHidden/>
              </w:rPr>
              <w:t>19</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78" w:history="1">
            <w:r w:rsidRPr="008407E3">
              <w:rPr>
                <w:rStyle w:val="Hypertextovodkaz"/>
                <w:rFonts w:eastAsia="Times New Roman"/>
                <w:noProof/>
                <w:lang w:eastAsia="cs-CZ"/>
              </w:rPr>
              <w:t>b) společná bezpečnostní a obranná politika</w:t>
            </w:r>
            <w:r>
              <w:rPr>
                <w:noProof/>
                <w:webHidden/>
              </w:rPr>
              <w:tab/>
            </w:r>
            <w:r>
              <w:rPr>
                <w:noProof/>
                <w:webHidden/>
              </w:rPr>
              <w:fldChar w:fldCharType="begin"/>
            </w:r>
            <w:r>
              <w:rPr>
                <w:noProof/>
                <w:webHidden/>
              </w:rPr>
              <w:instrText xml:space="preserve"> PAGEREF _Toc282320178 \h </w:instrText>
            </w:r>
            <w:r>
              <w:rPr>
                <w:noProof/>
                <w:webHidden/>
              </w:rPr>
            </w:r>
            <w:r>
              <w:rPr>
                <w:noProof/>
                <w:webHidden/>
              </w:rPr>
              <w:fldChar w:fldCharType="separate"/>
            </w:r>
            <w:r w:rsidR="00A96350">
              <w:rPr>
                <w:noProof/>
                <w:webHidden/>
              </w:rPr>
              <w:t>19</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79" w:history="1">
            <w:r w:rsidRPr="008407E3">
              <w:rPr>
                <w:rStyle w:val="Hypertextovodkaz"/>
                <w:rFonts w:eastAsia="Times New Roman"/>
                <w:noProof/>
                <w:lang w:eastAsia="cs-CZ"/>
              </w:rPr>
              <w:t>c) příklady společných akcí</w:t>
            </w:r>
            <w:r>
              <w:rPr>
                <w:noProof/>
                <w:webHidden/>
              </w:rPr>
              <w:tab/>
            </w:r>
            <w:r>
              <w:rPr>
                <w:noProof/>
                <w:webHidden/>
              </w:rPr>
              <w:fldChar w:fldCharType="begin"/>
            </w:r>
            <w:r>
              <w:rPr>
                <w:noProof/>
                <w:webHidden/>
              </w:rPr>
              <w:instrText xml:space="preserve"> PAGEREF _Toc282320179 \h </w:instrText>
            </w:r>
            <w:r>
              <w:rPr>
                <w:noProof/>
                <w:webHidden/>
              </w:rPr>
            </w:r>
            <w:r>
              <w:rPr>
                <w:noProof/>
                <w:webHidden/>
              </w:rPr>
              <w:fldChar w:fldCharType="separate"/>
            </w:r>
            <w:r w:rsidR="00A96350">
              <w:rPr>
                <w:noProof/>
                <w:webHidden/>
              </w:rPr>
              <w:t>19</w:t>
            </w:r>
            <w:r>
              <w:rPr>
                <w:noProof/>
                <w:webHidden/>
              </w:rPr>
              <w:fldChar w:fldCharType="end"/>
            </w:r>
          </w:hyperlink>
        </w:p>
        <w:p w:rsidR="00F94CF2" w:rsidRDefault="00F94CF2" w:rsidP="00A96350">
          <w:pPr>
            <w:pStyle w:val="Obsah1"/>
            <w:tabs>
              <w:tab w:val="right" w:leader="dot" w:pos="10456"/>
            </w:tabs>
            <w:spacing w:line="240" w:lineRule="auto"/>
            <w:rPr>
              <w:noProof/>
            </w:rPr>
          </w:pPr>
          <w:hyperlink w:anchor="_Toc282320180" w:history="1">
            <w:r w:rsidRPr="008407E3">
              <w:rPr>
                <w:rStyle w:val="Hypertextovodkaz"/>
                <w:rFonts w:eastAsia="Times New Roman"/>
                <w:noProof/>
                <w:lang w:eastAsia="cs-CZ"/>
              </w:rPr>
              <w:t>15. Policejní a justiční spolupráce v trestních věcech</w:t>
            </w:r>
            <w:r>
              <w:rPr>
                <w:noProof/>
                <w:webHidden/>
              </w:rPr>
              <w:tab/>
            </w:r>
            <w:r>
              <w:rPr>
                <w:noProof/>
                <w:webHidden/>
              </w:rPr>
              <w:fldChar w:fldCharType="begin"/>
            </w:r>
            <w:r>
              <w:rPr>
                <w:noProof/>
                <w:webHidden/>
              </w:rPr>
              <w:instrText xml:space="preserve"> PAGEREF _Toc282320180 \h </w:instrText>
            </w:r>
            <w:r>
              <w:rPr>
                <w:noProof/>
                <w:webHidden/>
              </w:rPr>
            </w:r>
            <w:r>
              <w:rPr>
                <w:noProof/>
                <w:webHidden/>
              </w:rPr>
              <w:fldChar w:fldCharType="separate"/>
            </w:r>
            <w:r w:rsidR="00A96350">
              <w:rPr>
                <w:noProof/>
                <w:webHidden/>
              </w:rPr>
              <w:t>20</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81" w:history="1">
            <w:r w:rsidRPr="008407E3">
              <w:rPr>
                <w:rStyle w:val="Hypertextovodkaz"/>
                <w:rFonts w:eastAsia="Times New Roman"/>
                <w:noProof/>
                <w:lang w:eastAsia="cs-CZ"/>
              </w:rPr>
              <w:t>a) policejní spolupráce v trestních věcech</w:t>
            </w:r>
            <w:r>
              <w:rPr>
                <w:noProof/>
                <w:webHidden/>
              </w:rPr>
              <w:tab/>
            </w:r>
            <w:r>
              <w:rPr>
                <w:noProof/>
                <w:webHidden/>
              </w:rPr>
              <w:fldChar w:fldCharType="begin"/>
            </w:r>
            <w:r>
              <w:rPr>
                <w:noProof/>
                <w:webHidden/>
              </w:rPr>
              <w:instrText xml:space="preserve"> PAGEREF _Toc282320181 \h </w:instrText>
            </w:r>
            <w:r>
              <w:rPr>
                <w:noProof/>
                <w:webHidden/>
              </w:rPr>
            </w:r>
            <w:r>
              <w:rPr>
                <w:noProof/>
                <w:webHidden/>
              </w:rPr>
              <w:fldChar w:fldCharType="separate"/>
            </w:r>
            <w:r w:rsidR="00A96350">
              <w:rPr>
                <w:noProof/>
                <w:webHidden/>
              </w:rPr>
              <w:t>20</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82" w:history="1">
            <w:r w:rsidRPr="008407E3">
              <w:rPr>
                <w:rStyle w:val="Hypertextovodkaz"/>
                <w:rFonts w:eastAsia="Times New Roman"/>
                <w:noProof/>
                <w:lang w:eastAsia="cs-CZ"/>
              </w:rPr>
              <w:t>b) justiční spolupráce v trestních věcech</w:t>
            </w:r>
            <w:r>
              <w:rPr>
                <w:noProof/>
                <w:webHidden/>
              </w:rPr>
              <w:tab/>
            </w:r>
            <w:r>
              <w:rPr>
                <w:noProof/>
                <w:webHidden/>
              </w:rPr>
              <w:fldChar w:fldCharType="begin"/>
            </w:r>
            <w:r>
              <w:rPr>
                <w:noProof/>
                <w:webHidden/>
              </w:rPr>
              <w:instrText xml:space="preserve"> PAGEREF _Toc282320182 \h </w:instrText>
            </w:r>
            <w:r>
              <w:rPr>
                <w:noProof/>
                <w:webHidden/>
              </w:rPr>
            </w:r>
            <w:r>
              <w:rPr>
                <w:noProof/>
                <w:webHidden/>
              </w:rPr>
              <w:fldChar w:fldCharType="separate"/>
            </w:r>
            <w:r w:rsidR="00A96350">
              <w:rPr>
                <w:noProof/>
                <w:webHidden/>
              </w:rPr>
              <w:t>20</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83" w:history="1">
            <w:r w:rsidRPr="008407E3">
              <w:rPr>
                <w:rStyle w:val="Hypertextovodkaz"/>
                <w:rFonts w:eastAsia="Times New Roman"/>
                <w:noProof/>
                <w:lang w:eastAsia="cs-CZ"/>
              </w:rPr>
              <w:t>c) Europol, Eurojust, Úřad evropského veřejného žalobce</w:t>
            </w:r>
            <w:r>
              <w:rPr>
                <w:noProof/>
                <w:webHidden/>
              </w:rPr>
              <w:tab/>
            </w:r>
            <w:r>
              <w:rPr>
                <w:noProof/>
                <w:webHidden/>
              </w:rPr>
              <w:fldChar w:fldCharType="begin"/>
            </w:r>
            <w:r>
              <w:rPr>
                <w:noProof/>
                <w:webHidden/>
              </w:rPr>
              <w:instrText xml:space="preserve"> PAGEREF _Toc282320183 \h </w:instrText>
            </w:r>
            <w:r>
              <w:rPr>
                <w:noProof/>
                <w:webHidden/>
              </w:rPr>
            </w:r>
            <w:r>
              <w:rPr>
                <w:noProof/>
                <w:webHidden/>
              </w:rPr>
              <w:fldChar w:fldCharType="separate"/>
            </w:r>
            <w:r w:rsidR="00A96350">
              <w:rPr>
                <w:noProof/>
                <w:webHidden/>
              </w:rPr>
              <w:t>20</w:t>
            </w:r>
            <w:r>
              <w:rPr>
                <w:noProof/>
                <w:webHidden/>
              </w:rPr>
              <w:fldChar w:fldCharType="end"/>
            </w:r>
          </w:hyperlink>
        </w:p>
        <w:p w:rsidR="00F94CF2" w:rsidRDefault="00F94CF2" w:rsidP="00A96350">
          <w:pPr>
            <w:pStyle w:val="Obsah2"/>
            <w:tabs>
              <w:tab w:val="right" w:leader="dot" w:pos="10456"/>
            </w:tabs>
            <w:spacing w:line="240" w:lineRule="auto"/>
            <w:rPr>
              <w:noProof/>
            </w:rPr>
          </w:pPr>
          <w:hyperlink w:anchor="_Toc282320184" w:history="1">
            <w:r w:rsidRPr="008407E3">
              <w:rPr>
                <w:rStyle w:val="Hypertextovodkaz"/>
                <w:rFonts w:eastAsia="Times New Roman"/>
                <w:noProof/>
                <w:lang w:eastAsia="cs-CZ"/>
              </w:rPr>
              <w:t>d) příklady právních aktů - Eurozatykač atd.</w:t>
            </w:r>
            <w:r>
              <w:rPr>
                <w:noProof/>
                <w:webHidden/>
              </w:rPr>
              <w:tab/>
            </w:r>
            <w:r>
              <w:rPr>
                <w:noProof/>
                <w:webHidden/>
              </w:rPr>
              <w:fldChar w:fldCharType="begin"/>
            </w:r>
            <w:r>
              <w:rPr>
                <w:noProof/>
                <w:webHidden/>
              </w:rPr>
              <w:instrText xml:space="preserve"> PAGEREF _Toc282320184 \h </w:instrText>
            </w:r>
            <w:r>
              <w:rPr>
                <w:noProof/>
                <w:webHidden/>
              </w:rPr>
            </w:r>
            <w:r>
              <w:rPr>
                <w:noProof/>
                <w:webHidden/>
              </w:rPr>
              <w:fldChar w:fldCharType="separate"/>
            </w:r>
            <w:r w:rsidR="00A96350">
              <w:rPr>
                <w:noProof/>
                <w:webHidden/>
              </w:rPr>
              <w:t>20</w:t>
            </w:r>
            <w:r>
              <w:rPr>
                <w:noProof/>
                <w:webHidden/>
              </w:rPr>
              <w:fldChar w:fldCharType="end"/>
            </w:r>
          </w:hyperlink>
        </w:p>
        <w:p w:rsidR="00F94CF2" w:rsidRDefault="00F94CF2" w:rsidP="00A96350">
          <w:pPr>
            <w:spacing w:line="240" w:lineRule="auto"/>
          </w:pPr>
          <w:r>
            <w:fldChar w:fldCharType="end"/>
          </w:r>
        </w:p>
      </w:sdtContent>
    </w:sdt>
    <w:p w:rsidR="00A721F5" w:rsidRDefault="00A721F5">
      <w:pPr>
        <w:rPr>
          <w:rFonts w:asciiTheme="majorHAnsi" w:eastAsia="Times New Roman" w:hAnsiTheme="majorHAnsi" w:cstheme="majorBidi"/>
          <w:b/>
          <w:bCs/>
          <w:color w:val="365F91" w:themeColor="accent1" w:themeShade="BF"/>
          <w:sz w:val="28"/>
          <w:szCs w:val="28"/>
          <w:lang w:eastAsia="cs-CZ"/>
        </w:rPr>
      </w:pPr>
      <w:bookmarkStart w:id="0" w:name="_Toc282320114"/>
      <w:r>
        <w:rPr>
          <w:rFonts w:eastAsia="Times New Roman"/>
          <w:lang w:eastAsia="cs-CZ"/>
        </w:rPr>
        <w:br w:type="page"/>
      </w:r>
    </w:p>
    <w:p w:rsidR="005F16C1" w:rsidRPr="005F16C1" w:rsidRDefault="005F16C1" w:rsidP="00555D25">
      <w:pPr>
        <w:pStyle w:val="Nadpis1"/>
        <w:rPr>
          <w:rFonts w:eastAsia="Times New Roman"/>
          <w:lang w:eastAsia="cs-CZ"/>
        </w:rPr>
      </w:pPr>
      <w:r w:rsidRPr="005F16C1">
        <w:rPr>
          <w:rFonts w:eastAsia="Times New Roman"/>
          <w:lang w:eastAsia="cs-CZ"/>
        </w:rPr>
        <w:lastRenderedPageBreak/>
        <w:t>1. Historický vývoj a základní charakteristika Evropské unie</w:t>
      </w:r>
      <w:bookmarkEnd w:id="0"/>
      <w:r w:rsidRPr="005F16C1">
        <w:rPr>
          <w:rFonts w:eastAsia="Times New Roman"/>
          <w:lang w:eastAsia="cs-CZ"/>
        </w:rPr>
        <w:t xml:space="preserve"> </w:t>
      </w:r>
    </w:p>
    <w:p w:rsidR="005F16C1" w:rsidRPr="005F16C1" w:rsidRDefault="005F16C1" w:rsidP="00555D25">
      <w:pPr>
        <w:pStyle w:val="Nadpis2"/>
        <w:spacing w:before="0"/>
        <w:rPr>
          <w:rFonts w:eastAsia="Times New Roman"/>
          <w:lang w:eastAsia="cs-CZ"/>
        </w:rPr>
      </w:pPr>
      <w:bookmarkStart w:id="1" w:name="_Toc282320115"/>
      <w:r w:rsidRPr="005F16C1">
        <w:rPr>
          <w:rFonts w:eastAsia="Times New Roman"/>
          <w:lang w:eastAsia="cs-CZ"/>
        </w:rPr>
        <w:t>a) vznik tří evropských společenství</w:t>
      </w:r>
      <w:bookmarkEnd w:id="1"/>
      <w:r w:rsidRPr="005F16C1">
        <w:rPr>
          <w:rFonts w:eastAsia="Times New Roman"/>
          <w:lang w:eastAsia="cs-CZ"/>
        </w:rPr>
        <w:t xml:space="preserve"> </w:t>
      </w:r>
    </w:p>
    <w:p w:rsidR="00555D25" w:rsidRDefault="00555D25" w:rsidP="00555D25">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Komunitární Evropa (1952 – 1992)</w:t>
      </w:r>
    </w:p>
    <w:p w:rsidR="00555D25" w:rsidRDefault="00555D25" w:rsidP="00555D25">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 Smlouva o Evropském společenství uhlí a oceli (1952-2002)</w:t>
      </w:r>
    </w:p>
    <w:p w:rsidR="00555D25" w:rsidRDefault="00555D25" w:rsidP="00555D25">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Evropské hospodářské společenství, Euroatom (1957)</w:t>
      </w:r>
    </w:p>
    <w:p w:rsidR="00060220" w:rsidRDefault="005F16C1" w:rsidP="00060220">
      <w:pPr>
        <w:pStyle w:val="Nadpis2"/>
        <w:spacing w:before="0"/>
        <w:rPr>
          <w:rFonts w:eastAsia="Times New Roman"/>
          <w:lang w:eastAsia="cs-CZ"/>
        </w:rPr>
      </w:pPr>
      <w:bookmarkStart w:id="2" w:name="_Toc282320116"/>
      <w:r w:rsidRPr="00060220">
        <w:rPr>
          <w:rFonts w:eastAsia="Times New Roman"/>
          <w:lang w:eastAsia="cs-CZ"/>
        </w:rPr>
        <w:t xml:space="preserve">b) vznik EU </w:t>
      </w:r>
      <w:r w:rsidR="00060220" w:rsidRPr="00060220">
        <w:rPr>
          <w:rFonts w:eastAsia="Times New Roman"/>
          <w:lang w:eastAsia="cs-CZ"/>
        </w:rPr>
        <w:t>jako třípilířové struktury</w:t>
      </w:r>
      <w:bookmarkEnd w:id="2"/>
    </w:p>
    <w:p w:rsidR="00060220" w:rsidRDefault="00060220" w:rsidP="00060220">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Komunitárně-unijní Evropa (1993 – 2009)</w:t>
      </w:r>
    </w:p>
    <w:p w:rsidR="00060220" w:rsidRDefault="00060220" w:rsidP="00060220">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Maastrichtská smlouva (1992)</w:t>
      </w:r>
    </w:p>
    <w:p w:rsidR="00060220" w:rsidRDefault="00060220" w:rsidP="00060220">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Vznik Evropské unie (1.1.1993)</w:t>
      </w:r>
    </w:p>
    <w:p w:rsidR="00060220" w:rsidRDefault="00060220" w:rsidP="00E63D8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I. Pilíř – Acquis communautaire</w:t>
      </w:r>
    </w:p>
    <w:p w:rsidR="00060220" w:rsidRDefault="00060220" w:rsidP="00E63D8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Evropská společenství</w:t>
      </w:r>
      <w:r w:rsidR="00E63D8A">
        <w:rPr>
          <w:rFonts w:eastAsia="Times New Roman" w:cstheme="minorHAnsi"/>
          <w:sz w:val="20"/>
          <w:szCs w:val="20"/>
          <w:lang w:eastAsia="cs-CZ"/>
        </w:rPr>
        <w:t xml:space="preserve"> + EHS + EUROATOM</w:t>
      </w:r>
    </w:p>
    <w:p w:rsidR="00E63D8A" w:rsidRDefault="00E63D8A" w:rsidP="00E63D8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Společné</w:t>
      </w:r>
      <w:r w:rsidR="002555BA">
        <w:rPr>
          <w:rFonts w:eastAsia="Times New Roman" w:cstheme="minorHAnsi"/>
          <w:sz w:val="20"/>
          <w:szCs w:val="20"/>
          <w:lang w:eastAsia="cs-CZ"/>
        </w:rPr>
        <w:t xml:space="preserve"> komunitární</w:t>
      </w:r>
      <w:r>
        <w:rPr>
          <w:rFonts w:eastAsia="Times New Roman" w:cstheme="minorHAnsi"/>
          <w:sz w:val="20"/>
          <w:szCs w:val="20"/>
          <w:lang w:eastAsia="cs-CZ"/>
        </w:rPr>
        <w:t xml:space="preserve"> právo</w:t>
      </w:r>
    </w:p>
    <w:p w:rsidR="00E63D8A" w:rsidRDefault="00E63D8A" w:rsidP="00E63D8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Rada, Komise, Parlament, ESD</w:t>
      </w:r>
    </w:p>
    <w:p w:rsidR="00E63D8A" w:rsidRDefault="00E63D8A" w:rsidP="00E63D8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Nařízení a směrnice</w:t>
      </w:r>
    </w:p>
    <w:p w:rsidR="00E63D8A" w:rsidRDefault="00E63D8A" w:rsidP="00E63D8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Rozhoduje se kvalifikovanou většinou</w:t>
      </w:r>
    </w:p>
    <w:p w:rsidR="00E63D8A" w:rsidRDefault="00E63D8A" w:rsidP="00E63D8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II. Pilíř – Společná zahraniční a bezpečnostní politika</w:t>
      </w:r>
    </w:p>
    <w:p w:rsidR="00E63D8A" w:rsidRDefault="00E63D8A" w:rsidP="00E63D8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Nepoužívá se komunitární právo, pouze unijní</w:t>
      </w:r>
    </w:p>
    <w:p w:rsidR="00E63D8A" w:rsidRDefault="00E63D8A" w:rsidP="00E63D8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Společné strategie a postoje</w:t>
      </w:r>
    </w:p>
    <w:p w:rsidR="00E63D8A" w:rsidRDefault="00E63D8A" w:rsidP="00E63D8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Rozhoduje se jednohlasně</w:t>
      </w:r>
    </w:p>
    <w:p w:rsidR="00E63D8A" w:rsidRDefault="00E63D8A" w:rsidP="00E63D8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III. Pilíř – policejní a justiční spolupráce v trestních věcech</w:t>
      </w:r>
    </w:p>
    <w:p w:rsidR="00E63D8A" w:rsidRDefault="00E63D8A" w:rsidP="00E63D8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Nepoužívá se komunitární právo, pouze unijní</w:t>
      </w:r>
    </w:p>
    <w:p w:rsidR="00E63D8A" w:rsidRDefault="00E63D8A" w:rsidP="00E63D8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Rámcová rozhodnutí (obdoba směrnice)</w:t>
      </w:r>
    </w:p>
    <w:p w:rsidR="00E63D8A" w:rsidRDefault="00E63D8A" w:rsidP="00E63D8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Rozhoduje se jednohlasně</w:t>
      </w:r>
    </w:p>
    <w:p w:rsidR="00E63D8A" w:rsidRDefault="000B0D8C" w:rsidP="00E63D8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Vzniká </w:t>
      </w:r>
      <w:r w:rsidR="00E63D8A">
        <w:rPr>
          <w:rFonts w:eastAsia="Times New Roman" w:cstheme="minorHAnsi"/>
          <w:sz w:val="20"/>
          <w:szCs w:val="20"/>
          <w:lang w:eastAsia="cs-CZ"/>
        </w:rPr>
        <w:t>Evropský ombudsman</w:t>
      </w:r>
    </w:p>
    <w:p w:rsidR="00E63D8A" w:rsidRPr="000B0D8C" w:rsidRDefault="00E63D8A" w:rsidP="00E63D8A">
      <w:pPr>
        <w:pStyle w:val="Odstavecseseznamem"/>
        <w:numPr>
          <w:ilvl w:val="1"/>
          <w:numId w:val="9"/>
        </w:numPr>
        <w:spacing w:after="0" w:line="240" w:lineRule="auto"/>
        <w:rPr>
          <w:rFonts w:eastAsia="Times New Roman" w:cstheme="minorHAnsi"/>
          <w:sz w:val="20"/>
          <w:szCs w:val="20"/>
          <w:lang w:eastAsia="cs-CZ"/>
        </w:rPr>
      </w:pPr>
      <w:r w:rsidRPr="000B0D8C">
        <w:rPr>
          <w:rFonts w:eastAsia="Times New Roman" w:cstheme="minorHAnsi"/>
          <w:sz w:val="20"/>
          <w:szCs w:val="20"/>
          <w:lang w:eastAsia="cs-CZ"/>
        </w:rPr>
        <w:t>Zavádí se princip subsidiarity</w:t>
      </w:r>
      <w:r w:rsidR="000B0D8C" w:rsidRPr="000B0D8C">
        <w:rPr>
          <w:rFonts w:eastAsia="Times New Roman" w:cstheme="minorHAnsi"/>
          <w:sz w:val="20"/>
          <w:szCs w:val="20"/>
          <w:lang w:eastAsia="cs-CZ"/>
        </w:rPr>
        <w:t xml:space="preserve"> + </w:t>
      </w:r>
      <w:r w:rsidRPr="000B0D8C">
        <w:rPr>
          <w:rFonts w:eastAsia="Times New Roman" w:cstheme="minorHAnsi"/>
          <w:sz w:val="20"/>
          <w:szCs w:val="20"/>
          <w:lang w:eastAsia="cs-CZ"/>
        </w:rPr>
        <w:t>institut evropského občanství</w:t>
      </w:r>
    </w:p>
    <w:p w:rsidR="00E63D8A" w:rsidRDefault="00E63D8A" w:rsidP="00E63D8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Revize smluv </w:t>
      </w:r>
    </w:p>
    <w:p w:rsidR="00E63D8A" w:rsidRDefault="002555BA" w:rsidP="00E63D8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Kodaňský summit (19</w:t>
      </w:r>
      <w:r w:rsidR="00E63D8A">
        <w:rPr>
          <w:rFonts w:eastAsia="Times New Roman" w:cstheme="minorHAnsi"/>
          <w:sz w:val="20"/>
          <w:szCs w:val="20"/>
          <w:lang w:eastAsia="cs-CZ"/>
        </w:rPr>
        <w:t xml:space="preserve">94) </w:t>
      </w:r>
      <w:r>
        <w:rPr>
          <w:rFonts w:eastAsia="Times New Roman" w:cstheme="minorHAnsi"/>
          <w:sz w:val="20"/>
          <w:szCs w:val="20"/>
          <w:lang w:eastAsia="cs-CZ"/>
        </w:rPr>
        <w:t>–</w:t>
      </w:r>
      <w:r w:rsidR="00E63D8A">
        <w:rPr>
          <w:rFonts w:eastAsia="Times New Roman" w:cstheme="minorHAnsi"/>
          <w:sz w:val="20"/>
          <w:szCs w:val="20"/>
          <w:lang w:eastAsia="cs-CZ"/>
        </w:rPr>
        <w:t xml:space="preserve"> </w:t>
      </w:r>
      <w:r>
        <w:rPr>
          <w:rFonts w:eastAsia="Times New Roman" w:cstheme="minorHAnsi"/>
          <w:sz w:val="20"/>
          <w:szCs w:val="20"/>
          <w:lang w:eastAsia="cs-CZ"/>
        </w:rPr>
        <w:t>konvergenční kriteria</w:t>
      </w:r>
    </w:p>
    <w:p w:rsidR="002555BA" w:rsidRDefault="002555BA" w:rsidP="00E63D8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Amsterodamská smlouva (1997)</w:t>
      </w:r>
      <w:r w:rsidR="000B0D8C">
        <w:rPr>
          <w:rFonts w:eastAsia="Times New Roman" w:cstheme="minorHAnsi"/>
          <w:sz w:val="20"/>
          <w:szCs w:val="20"/>
          <w:lang w:eastAsia="cs-CZ"/>
        </w:rPr>
        <w:t xml:space="preserve"> = </w:t>
      </w:r>
    </w:p>
    <w:p w:rsidR="002555BA" w:rsidRDefault="002555BA" w:rsidP="00E63D8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Niceská smlouva (2000)</w:t>
      </w:r>
      <w:r w:rsidR="000B0D8C">
        <w:rPr>
          <w:rFonts w:eastAsia="Times New Roman" w:cstheme="minorHAnsi"/>
          <w:sz w:val="20"/>
          <w:szCs w:val="20"/>
          <w:lang w:eastAsia="cs-CZ"/>
        </w:rPr>
        <w:t xml:space="preserve"> = Listina základních práv EU</w:t>
      </w:r>
    </w:p>
    <w:p w:rsidR="000B0D8C" w:rsidRDefault="000B0D8C" w:rsidP="000B0D8C">
      <w:pPr>
        <w:pStyle w:val="Odstavecseseznamem"/>
        <w:numPr>
          <w:ilvl w:val="1"/>
          <w:numId w:val="9"/>
        </w:numPr>
        <w:spacing w:after="0" w:line="240" w:lineRule="auto"/>
        <w:rPr>
          <w:rFonts w:eastAsia="Times New Roman" w:cstheme="minorHAnsi"/>
          <w:sz w:val="20"/>
          <w:szCs w:val="20"/>
          <w:lang w:eastAsia="cs-CZ"/>
        </w:rPr>
      </w:pPr>
    </w:p>
    <w:p w:rsidR="005F16C1" w:rsidRPr="000B0D8C" w:rsidRDefault="005F16C1" w:rsidP="000B0D8C">
      <w:pPr>
        <w:pStyle w:val="Nadpis2"/>
        <w:spacing w:before="0"/>
        <w:rPr>
          <w:rFonts w:eastAsia="Times New Roman"/>
          <w:lang w:eastAsia="cs-CZ"/>
        </w:rPr>
      </w:pPr>
      <w:bookmarkStart w:id="3" w:name="_Toc282320117"/>
      <w:r w:rsidRPr="000B0D8C">
        <w:rPr>
          <w:rFonts w:eastAsia="Times New Roman"/>
          <w:lang w:eastAsia="cs-CZ"/>
        </w:rPr>
        <w:t>c) Smlouva o Ústavě pro Evropu</w:t>
      </w:r>
      <w:bookmarkEnd w:id="3"/>
      <w:r w:rsidRPr="000B0D8C">
        <w:rPr>
          <w:rFonts w:eastAsia="Times New Roman"/>
          <w:lang w:eastAsia="cs-CZ"/>
        </w:rPr>
        <w:t xml:space="preserve"> </w:t>
      </w:r>
    </w:p>
    <w:p w:rsidR="000B0D8C" w:rsidRDefault="000B0D8C" w:rsidP="000B0D8C">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Euroústava (2003)</w:t>
      </w:r>
    </w:p>
    <w:p w:rsidR="000B0D8C" w:rsidRDefault="000B0D8C" w:rsidP="000B0D8C">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Neúspěch v referendu – Francie a Nizozemí</w:t>
      </w:r>
    </w:p>
    <w:p w:rsidR="005F16C1" w:rsidRPr="000B0D8C" w:rsidRDefault="005F16C1" w:rsidP="000B0D8C">
      <w:pPr>
        <w:pStyle w:val="Nadpis2"/>
        <w:spacing w:before="0"/>
        <w:rPr>
          <w:rFonts w:eastAsia="Times New Roman"/>
          <w:lang w:eastAsia="cs-CZ"/>
        </w:rPr>
      </w:pPr>
      <w:bookmarkStart w:id="4" w:name="_Toc282320118"/>
      <w:r w:rsidRPr="000B0D8C">
        <w:rPr>
          <w:rFonts w:eastAsia="Times New Roman"/>
          <w:lang w:eastAsia="cs-CZ"/>
        </w:rPr>
        <w:t>d) Lisabonská smlouva</w:t>
      </w:r>
      <w:bookmarkEnd w:id="4"/>
      <w:r w:rsidRPr="000B0D8C">
        <w:rPr>
          <w:rFonts w:eastAsia="Times New Roman"/>
          <w:lang w:eastAsia="cs-CZ"/>
        </w:rPr>
        <w:t xml:space="preserve"> </w:t>
      </w:r>
    </w:p>
    <w:p w:rsidR="000B0D8C" w:rsidRDefault="000B0D8C" w:rsidP="000B0D8C">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Kompromisní dokument po neúspěšné Euroústavě</w:t>
      </w:r>
    </w:p>
    <w:p w:rsidR="000B0D8C" w:rsidRDefault="000B0D8C" w:rsidP="000B0D8C">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Lisabonská smlouva (přijata 2007, platnost </w:t>
      </w:r>
      <w:r w:rsidR="00A62513">
        <w:rPr>
          <w:rFonts w:eastAsia="Times New Roman" w:cstheme="minorHAnsi"/>
          <w:sz w:val="20"/>
          <w:szCs w:val="20"/>
          <w:lang w:eastAsia="cs-CZ"/>
        </w:rPr>
        <w:t>1. 12. 2009</w:t>
      </w:r>
      <w:r>
        <w:rPr>
          <w:rFonts w:eastAsia="Times New Roman" w:cstheme="minorHAnsi"/>
          <w:sz w:val="20"/>
          <w:szCs w:val="20"/>
          <w:lang w:eastAsia="cs-CZ"/>
        </w:rPr>
        <w:t>)</w:t>
      </w:r>
    </w:p>
    <w:p w:rsidR="000B0D8C" w:rsidRDefault="000B0D8C" w:rsidP="000B0D8C">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Skládá se ze Smlouvy o Evropské unii</w:t>
      </w:r>
      <w:r w:rsidR="00510395">
        <w:rPr>
          <w:rFonts w:eastAsia="Times New Roman" w:cstheme="minorHAnsi"/>
          <w:sz w:val="20"/>
          <w:szCs w:val="20"/>
          <w:lang w:eastAsia="cs-CZ"/>
        </w:rPr>
        <w:t xml:space="preserve"> (SEU)</w:t>
      </w:r>
      <w:r w:rsidR="007850C3">
        <w:rPr>
          <w:rFonts w:eastAsia="Times New Roman" w:cstheme="minorHAnsi"/>
          <w:sz w:val="20"/>
          <w:szCs w:val="20"/>
          <w:lang w:eastAsia="cs-CZ"/>
        </w:rPr>
        <w:t xml:space="preserve"> a Smlouvy o fungování</w:t>
      </w:r>
      <w:r>
        <w:rPr>
          <w:rFonts w:eastAsia="Times New Roman" w:cstheme="minorHAnsi"/>
          <w:sz w:val="20"/>
          <w:szCs w:val="20"/>
          <w:lang w:eastAsia="cs-CZ"/>
        </w:rPr>
        <w:t xml:space="preserve"> Evropské unie</w:t>
      </w:r>
      <w:r w:rsidR="00510395">
        <w:rPr>
          <w:rFonts w:eastAsia="Times New Roman" w:cstheme="minorHAnsi"/>
          <w:sz w:val="20"/>
          <w:szCs w:val="20"/>
          <w:lang w:eastAsia="cs-CZ"/>
        </w:rPr>
        <w:t xml:space="preserve"> (SFEU)</w:t>
      </w:r>
    </w:p>
    <w:p w:rsidR="005F16C1" w:rsidRPr="000B0D8C" w:rsidRDefault="005F16C1" w:rsidP="000B0D8C">
      <w:pPr>
        <w:pStyle w:val="Nadpis2"/>
        <w:spacing w:before="0"/>
        <w:rPr>
          <w:rFonts w:eastAsia="Times New Roman"/>
          <w:lang w:eastAsia="cs-CZ"/>
        </w:rPr>
      </w:pPr>
      <w:bookmarkStart w:id="5" w:name="_Toc282320119"/>
      <w:r w:rsidRPr="000B0D8C">
        <w:rPr>
          <w:rFonts w:eastAsia="Times New Roman"/>
          <w:lang w:eastAsia="cs-CZ"/>
        </w:rPr>
        <w:t>e) základní charakteristika současné EU</w:t>
      </w:r>
      <w:bookmarkEnd w:id="5"/>
      <w:r w:rsidRPr="000B0D8C">
        <w:rPr>
          <w:rFonts w:eastAsia="Times New Roman"/>
          <w:lang w:eastAsia="cs-CZ"/>
        </w:rPr>
        <w:t xml:space="preserve"> </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Evropská občanská iniciativa</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Možnost změny primárního práva bez konání mezivládní konference, tzv. passarela</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Posílení řádného legislativního postupu v Parlamentu</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Právní subjektivita pro EU</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Právní závaznost Listiny základních práv a svobod EU (mimo VB, Polsko, ČR)</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Stanoven kriteria pro vystoupení</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Vznik Evropské služby pro vnější činnost (evropská diplomatická služba)</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Zavedení stálého předsedy Evropské rady (Herman Van Rompuy)</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Změna postavení Vysokého představitele pro zahraniční věci a bezpečnostní politiku (Catherine Ashton)</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Zrušení ES</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Zrušení pilířové struktury</w:t>
      </w:r>
    </w:p>
    <w:p w:rsidR="007850C3" w:rsidRDefault="007850C3" w:rsidP="007850C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Zvýšení počtu případů hlasování v Radě kvalifikovanou většinou</w:t>
      </w:r>
      <w:r>
        <w:rPr>
          <w:rStyle w:val="Znakapoznpodarou"/>
          <w:rFonts w:eastAsia="Times New Roman" w:cstheme="minorHAnsi"/>
          <w:sz w:val="20"/>
          <w:szCs w:val="20"/>
          <w:lang w:eastAsia="cs-CZ"/>
        </w:rPr>
        <w:footnoteReference w:id="1"/>
      </w:r>
    </w:p>
    <w:p w:rsidR="005F16C1" w:rsidRPr="009C50F4" w:rsidRDefault="005F16C1" w:rsidP="009C50F4">
      <w:pPr>
        <w:spacing w:after="0" w:line="240" w:lineRule="auto"/>
        <w:rPr>
          <w:rFonts w:eastAsia="Times New Roman" w:cstheme="minorHAnsi"/>
          <w:sz w:val="20"/>
          <w:szCs w:val="20"/>
          <w:lang w:eastAsia="cs-CZ"/>
        </w:rPr>
      </w:pPr>
      <w:r w:rsidRPr="009C50F4">
        <w:rPr>
          <w:rFonts w:eastAsia="Times New Roman" w:cstheme="minorHAnsi"/>
          <w:sz w:val="20"/>
          <w:szCs w:val="20"/>
          <w:lang w:eastAsia="cs-CZ"/>
        </w:rPr>
        <w:br w:type="page"/>
      </w:r>
    </w:p>
    <w:p w:rsidR="005F16C1" w:rsidRPr="008A2457" w:rsidRDefault="005F16C1" w:rsidP="008A2457">
      <w:pPr>
        <w:pStyle w:val="Nadpis1"/>
        <w:rPr>
          <w:rFonts w:eastAsia="Times New Roman"/>
          <w:lang w:eastAsia="cs-CZ"/>
        </w:rPr>
      </w:pPr>
      <w:bookmarkStart w:id="6" w:name="_Toc282320120"/>
      <w:r w:rsidRPr="008A2457">
        <w:rPr>
          <w:rFonts w:eastAsia="Times New Roman"/>
          <w:lang w:eastAsia="cs-CZ"/>
        </w:rPr>
        <w:lastRenderedPageBreak/>
        <w:t>2. Členství v EU</w:t>
      </w:r>
      <w:bookmarkEnd w:id="6"/>
      <w:r w:rsidRPr="008A2457">
        <w:rPr>
          <w:rFonts w:eastAsia="Times New Roman"/>
          <w:lang w:eastAsia="cs-CZ"/>
        </w:rPr>
        <w:t xml:space="preserve"> </w:t>
      </w:r>
    </w:p>
    <w:p w:rsidR="005F16C1" w:rsidRPr="008A2457" w:rsidRDefault="005F16C1" w:rsidP="008A2457">
      <w:pPr>
        <w:pStyle w:val="Nadpis2"/>
        <w:spacing w:before="0"/>
        <w:rPr>
          <w:rFonts w:eastAsia="Times New Roman"/>
          <w:lang w:eastAsia="cs-CZ"/>
        </w:rPr>
      </w:pPr>
      <w:bookmarkStart w:id="7" w:name="_Toc282320121"/>
      <w:r w:rsidRPr="008A2457">
        <w:rPr>
          <w:rFonts w:eastAsia="Times New Roman"/>
          <w:lang w:eastAsia="cs-CZ"/>
        </w:rPr>
        <w:t>a) zakládající členové a jednotlivá rozšíření</w:t>
      </w:r>
      <w:bookmarkEnd w:id="7"/>
      <w:r w:rsidRPr="008A2457">
        <w:rPr>
          <w:rFonts w:eastAsia="Times New Roman"/>
          <w:lang w:eastAsia="cs-CZ"/>
        </w:rPr>
        <w:t xml:space="preserve"> </w:t>
      </w:r>
    </w:p>
    <w:p w:rsidR="00FC41B5" w:rsidRDefault="00FC41B5" w:rsidP="00FC41B5">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1952 – Belgie, Francie, Itálie, Lucembursko, SRN, Nizozemsko</w:t>
      </w:r>
    </w:p>
    <w:p w:rsidR="00FC41B5" w:rsidRDefault="00FC41B5" w:rsidP="00FC41B5">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1973 – Dánsko, Irsko, Velká Británie</w:t>
      </w:r>
    </w:p>
    <w:p w:rsidR="00FC41B5" w:rsidRDefault="00FC41B5" w:rsidP="00FC41B5">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1981 – Řecko</w:t>
      </w:r>
    </w:p>
    <w:p w:rsidR="00FC41B5" w:rsidRDefault="00FC41B5" w:rsidP="00FC41B5">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1986 – Španělsko, Portugalsko</w:t>
      </w:r>
    </w:p>
    <w:p w:rsidR="00D62DEF" w:rsidRDefault="00D62DEF" w:rsidP="00FC41B5">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1995 – Finsko, Rakousko, Švédsko</w:t>
      </w:r>
    </w:p>
    <w:p w:rsidR="00D62DEF" w:rsidRDefault="00D62DEF" w:rsidP="00FC41B5">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2004 – Česko, Estonsko, Kypr, Litva, Lotyšsko, Maďarsko, Malta, Polsko, Slovensko, Slovinsko</w:t>
      </w:r>
    </w:p>
    <w:p w:rsidR="00D62DEF" w:rsidRDefault="00D62DEF" w:rsidP="00FC41B5">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2007 – Rumunsko, Bulharsko</w:t>
      </w:r>
    </w:p>
    <w:p w:rsidR="00D62DEF" w:rsidRDefault="00D62DEF" w:rsidP="00FC41B5">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Členy nechtějí být: Albánie, Bosna, Černá Hora, Hercegovina, Kosovo, Srbsko</w:t>
      </w:r>
    </w:p>
    <w:p w:rsidR="005F16C1" w:rsidRPr="008A2457" w:rsidRDefault="005F16C1" w:rsidP="008A2457">
      <w:pPr>
        <w:pStyle w:val="Nadpis2"/>
        <w:spacing w:before="0"/>
        <w:rPr>
          <w:rFonts w:eastAsia="Times New Roman"/>
          <w:lang w:eastAsia="cs-CZ"/>
        </w:rPr>
      </w:pPr>
      <w:bookmarkStart w:id="8" w:name="_Toc282320122"/>
      <w:r w:rsidRPr="008A2457">
        <w:rPr>
          <w:rFonts w:eastAsia="Times New Roman"/>
          <w:lang w:eastAsia="cs-CZ"/>
        </w:rPr>
        <w:t>b) materiální podmínky členství - Kodaňská kriteria</w:t>
      </w:r>
      <w:bookmarkEnd w:id="8"/>
      <w:r w:rsidRPr="008A2457">
        <w:rPr>
          <w:rFonts w:eastAsia="Times New Roman"/>
          <w:lang w:eastAsia="cs-CZ"/>
        </w:rPr>
        <w:t xml:space="preserve"> </w:t>
      </w:r>
    </w:p>
    <w:p w:rsidR="00D62DEF" w:rsidRDefault="00D62DEF" w:rsidP="00D62DEF">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Tzv. Kodaňská kriteria</w:t>
      </w:r>
    </w:p>
    <w:p w:rsidR="00D62DEF" w:rsidRPr="00510395" w:rsidRDefault="00510395" w:rsidP="00510395">
      <w:pPr>
        <w:pStyle w:val="Odstavecseseznamem"/>
        <w:numPr>
          <w:ilvl w:val="1"/>
          <w:numId w:val="9"/>
        </w:numPr>
        <w:spacing w:after="0" w:line="240" w:lineRule="auto"/>
        <w:rPr>
          <w:rFonts w:eastAsia="Times New Roman" w:cstheme="minorHAnsi"/>
          <w:sz w:val="20"/>
          <w:szCs w:val="20"/>
          <w:lang w:eastAsia="cs-CZ"/>
        </w:rPr>
      </w:pPr>
      <w:r w:rsidRPr="00510395">
        <w:rPr>
          <w:rFonts w:eastAsia="Times New Roman" w:cstheme="minorHAnsi"/>
          <w:sz w:val="20"/>
          <w:szCs w:val="20"/>
          <w:lang w:eastAsia="cs-CZ"/>
        </w:rPr>
        <w:t>P</w:t>
      </w:r>
      <w:r w:rsidR="00D62DEF" w:rsidRPr="00510395">
        <w:rPr>
          <w:rFonts w:eastAsia="Times New Roman" w:cstheme="minorHAnsi"/>
          <w:sz w:val="20"/>
          <w:szCs w:val="20"/>
          <w:lang w:eastAsia="cs-CZ"/>
        </w:rPr>
        <w:t>olitická</w:t>
      </w:r>
      <w:r w:rsidRPr="00510395">
        <w:rPr>
          <w:rFonts w:eastAsia="Times New Roman" w:cstheme="minorHAnsi"/>
          <w:sz w:val="20"/>
          <w:szCs w:val="20"/>
          <w:lang w:eastAsia="cs-CZ"/>
        </w:rPr>
        <w:t xml:space="preserve"> - </w:t>
      </w:r>
      <w:r w:rsidR="00D62DEF" w:rsidRPr="00510395">
        <w:rPr>
          <w:rFonts w:eastAsia="Times New Roman" w:cstheme="minorHAnsi"/>
          <w:sz w:val="20"/>
          <w:szCs w:val="20"/>
          <w:lang w:eastAsia="cs-CZ"/>
        </w:rPr>
        <w:t>stabilní, demokratický, právní stát dodržující lidská práva</w:t>
      </w:r>
    </w:p>
    <w:p w:rsidR="00D62DEF" w:rsidRPr="00510395" w:rsidRDefault="00510395" w:rsidP="00510395">
      <w:pPr>
        <w:pStyle w:val="Odstavecseseznamem"/>
        <w:numPr>
          <w:ilvl w:val="1"/>
          <w:numId w:val="9"/>
        </w:numPr>
        <w:spacing w:after="0" w:line="240" w:lineRule="auto"/>
        <w:rPr>
          <w:rFonts w:eastAsia="Times New Roman" w:cstheme="minorHAnsi"/>
          <w:sz w:val="20"/>
          <w:szCs w:val="20"/>
          <w:lang w:eastAsia="cs-CZ"/>
        </w:rPr>
      </w:pPr>
      <w:r w:rsidRPr="00510395">
        <w:rPr>
          <w:rFonts w:eastAsia="Times New Roman" w:cstheme="minorHAnsi"/>
          <w:sz w:val="20"/>
          <w:szCs w:val="20"/>
          <w:lang w:eastAsia="cs-CZ"/>
        </w:rPr>
        <w:t>E</w:t>
      </w:r>
      <w:r w:rsidR="00D62DEF" w:rsidRPr="00510395">
        <w:rPr>
          <w:rFonts w:eastAsia="Times New Roman" w:cstheme="minorHAnsi"/>
          <w:sz w:val="20"/>
          <w:szCs w:val="20"/>
          <w:lang w:eastAsia="cs-CZ"/>
        </w:rPr>
        <w:t>konomická</w:t>
      </w:r>
      <w:r w:rsidRPr="00510395">
        <w:rPr>
          <w:rFonts w:eastAsia="Times New Roman" w:cstheme="minorHAnsi"/>
          <w:sz w:val="20"/>
          <w:szCs w:val="20"/>
          <w:lang w:eastAsia="cs-CZ"/>
        </w:rPr>
        <w:t xml:space="preserve"> - </w:t>
      </w:r>
      <w:r w:rsidR="00D62DEF" w:rsidRPr="00510395">
        <w:rPr>
          <w:rFonts w:eastAsia="Times New Roman" w:cstheme="minorHAnsi"/>
          <w:sz w:val="20"/>
          <w:szCs w:val="20"/>
          <w:lang w:eastAsia="cs-CZ"/>
        </w:rPr>
        <w:t>fungující tržní ekonomika</w:t>
      </w:r>
    </w:p>
    <w:p w:rsidR="00014F1F" w:rsidRPr="00510395" w:rsidRDefault="00510395" w:rsidP="00510395">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w:t>
      </w:r>
      <w:r w:rsidR="00D62DEF" w:rsidRPr="00510395">
        <w:rPr>
          <w:rFonts w:eastAsia="Times New Roman" w:cstheme="minorHAnsi"/>
          <w:sz w:val="20"/>
          <w:szCs w:val="20"/>
          <w:lang w:eastAsia="cs-CZ"/>
        </w:rPr>
        <w:t>právně-soudní</w:t>
      </w:r>
      <w:r w:rsidRPr="00510395">
        <w:rPr>
          <w:rFonts w:eastAsia="Times New Roman" w:cstheme="minorHAnsi"/>
          <w:sz w:val="20"/>
          <w:szCs w:val="20"/>
          <w:lang w:eastAsia="cs-CZ"/>
        </w:rPr>
        <w:t xml:space="preserve"> - </w:t>
      </w:r>
      <w:r w:rsidR="00014F1F" w:rsidRPr="00510395">
        <w:rPr>
          <w:rFonts w:eastAsia="Times New Roman" w:cstheme="minorHAnsi"/>
          <w:sz w:val="20"/>
          <w:szCs w:val="20"/>
          <w:lang w:eastAsia="cs-CZ"/>
        </w:rPr>
        <w:t>schopnost aplikace a dodržování právních pravidel EU</w:t>
      </w:r>
    </w:p>
    <w:p w:rsidR="00D62DEF" w:rsidRDefault="00014F1F" w:rsidP="00014F1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dostatečná schopnost EU absorbovat občany přistupujícího státu</w:t>
      </w:r>
    </w:p>
    <w:p w:rsidR="005F16C1" w:rsidRPr="008A2457" w:rsidRDefault="005F16C1" w:rsidP="008A2457">
      <w:pPr>
        <w:pStyle w:val="Nadpis2"/>
        <w:spacing w:before="0"/>
        <w:rPr>
          <w:rFonts w:eastAsia="Times New Roman"/>
          <w:lang w:eastAsia="cs-CZ"/>
        </w:rPr>
      </w:pPr>
      <w:bookmarkStart w:id="9" w:name="_Toc282320123"/>
      <w:r w:rsidRPr="008A2457">
        <w:rPr>
          <w:rFonts w:eastAsia="Times New Roman"/>
          <w:lang w:eastAsia="cs-CZ"/>
        </w:rPr>
        <w:t>c) procedurální podmínky členství</w:t>
      </w:r>
      <w:bookmarkEnd w:id="9"/>
      <w:r w:rsidRPr="008A2457">
        <w:rPr>
          <w:rFonts w:eastAsia="Times New Roman"/>
          <w:lang w:eastAsia="cs-CZ"/>
        </w:rPr>
        <w:t xml:space="preserve"> </w:t>
      </w:r>
    </w:p>
    <w:p w:rsidR="00014F1F" w:rsidRPr="00D14F8A" w:rsidRDefault="00CE2C0F" w:rsidP="00D14F8A">
      <w:pPr>
        <w:pStyle w:val="Odstavecseseznamem"/>
        <w:numPr>
          <w:ilvl w:val="0"/>
          <w:numId w:val="9"/>
        </w:numPr>
        <w:spacing w:after="0" w:line="240" w:lineRule="auto"/>
        <w:rPr>
          <w:rFonts w:eastAsia="Times New Roman" w:cstheme="minorHAnsi"/>
          <w:sz w:val="20"/>
          <w:szCs w:val="20"/>
          <w:lang w:eastAsia="cs-CZ"/>
        </w:rPr>
      </w:pPr>
      <w:r w:rsidRPr="00D14F8A">
        <w:rPr>
          <w:rFonts w:eastAsia="Times New Roman" w:cstheme="minorHAnsi"/>
          <w:sz w:val="20"/>
          <w:szCs w:val="20"/>
          <w:lang w:eastAsia="cs-CZ"/>
        </w:rPr>
        <w:t>žadatel zašle žádost Radě</w:t>
      </w:r>
      <w:r w:rsidR="00D14F8A" w:rsidRPr="00D14F8A">
        <w:rPr>
          <w:rFonts w:eastAsia="Times New Roman" w:cstheme="minorHAnsi"/>
          <w:sz w:val="20"/>
          <w:szCs w:val="20"/>
          <w:lang w:eastAsia="cs-CZ"/>
        </w:rPr>
        <w:t xml:space="preserve"> - </w:t>
      </w:r>
      <w:r w:rsidRPr="00D14F8A">
        <w:rPr>
          <w:rFonts w:eastAsia="Times New Roman" w:cstheme="minorHAnsi"/>
          <w:sz w:val="20"/>
          <w:szCs w:val="20"/>
          <w:lang w:eastAsia="cs-CZ"/>
        </w:rPr>
        <w:t>Rada informuje EP a všechny národní parlamenty</w:t>
      </w:r>
    </w:p>
    <w:p w:rsidR="00CE2C0F" w:rsidRDefault="00CE2C0F" w:rsidP="00CE2C0F">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Rada rozhodne, po konzultaci s Komisí a se souhlasem EP, o udělení statutu kandidátská země</w:t>
      </w:r>
    </w:p>
    <w:p w:rsidR="00CE2C0F" w:rsidRDefault="00CE2C0F" w:rsidP="00CE2C0F">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Rada rozhodne o zahájení jednání o přistoupení</w:t>
      </w:r>
    </w:p>
    <w:p w:rsidR="00CE2C0F" w:rsidRDefault="00CE2C0F" w:rsidP="00CE2C0F">
      <w:pPr>
        <w:pStyle w:val="Odstavecseseznamem"/>
        <w:numPr>
          <w:ilvl w:val="0"/>
          <w:numId w:val="9"/>
        </w:numPr>
        <w:spacing w:after="0" w:line="240" w:lineRule="auto"/>
        <w:rPr>
          <w:rFonts w:eastAsia="Times New Roman" w:cstheme="minorHAnsi"/>
          <w:sz w:val="20"/>
          <w:szCs w:val="20"/>
          <w:lang w:eastAsia="cs-CZ"/>
        </w:rPr>
      </w:pPr>
      <w:r w:rsidRPr="00CE2C0F">
        <w:rPr>
          <w:rFonts w:eastAsia="Times New Roman" w:cstheme="minorHAnsi"/>
          <w:sz w:val="20"/>
          <w:szCs w:val="20"/>
          <w:lang w:eastAsia="cs-CZ"/>
        </w:rPr>
        <w:t>Podpis dohody o přistoupení</w:t>
      </w:r>
      <w:r>
        <w:rPr>
          <w:rFonts w:eastAsia="Times New Roman" w:cstheme="minorHAnsi"/>
          <w:sz w:val="20"/>
          <w:szCs w:val="20"/>
          <w:lang w:eastAsia="cs-CZ"/>
        </w:rPr>
        <w:t xml:space="preserve">, </w:t>
      </w:r>
      <w:r w:rsidRPr="00CE2C0F">
        <w:rPr>
          <w:rFonts w:eastAsia="Times New Roman" w:cstheme="minorHAnsi"/>
          <w:sz w:val="20"/>
          <w:szCs w:val="20"/>
          <w:lang w:eastAsia="cs-CZ"/>
        </w:rPr>
        <w:t>musí být ratifikovaná všemi státy</w:t>
      </w:r>
    </w:p>
    <w:p w:rsidR="00D14F8A" w:rsidRDefault="00D14F8A" w:rsidP="00CE2C0F">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Princip OPTING OUT – princip výjimky z obsahu členství v EU, poskytované členskému státu, který se nechce připojit k ostatním členským státům v určité oblasti</w:t>
      </w:r>
      <w:r w:rsidR="00252A55">
        <w:rPr>
          <w:rFonts w:eastAsia="Times New Roman" w:cstheme="minorHAnsi"/>
          <w:sz w:val="20"/>
          <w:szCs w:val="20"/>
          <w:lang w:eastAsia="cs-CZ"/>
        </w:rPr>
        <w:t xml:space="preserve"> – VB x Euro; </w:t>
      </w:r>
    </w:p>
    <w:p w:rsidR="005F16C1" w:rsidRPr="008A2457" w:rsidRDefault="005F16C1" w:rsidP="008A2457">
      <w:pPr>
        <w:pStyle w:val="Nadpis2"/>
        <w:spacing w:before="0"/>
        <w:rPr>
          <w:rFonts w:eastAsia="Times New Roman"/>
          <w:lang w:eastAsia="cs-CZ"/>
        </w:rPr>
      </w:pPr>
      <w:bookmarkStart w:id="10" w:name="_Toc282320124"/>
      <w:r w:rsidRPr="008A2457">
        <w:rPr>
          <w:rFonts w:eastAsia="Times New Roman"/>
          <w:lang w:eastAsia="cs-CZ"/>
        </w:rPr>
        <w:t>d) obsah členství v EU</w:t>
      </w:r>
      <w:bookmarkEnd w:id="10"/>
      <w:r w:rsidRPr="008A2457">
        <w:rPr>
          <w:rFonts w:eastAsia="Times New Roman"/>
          <w:lang w:eastAsia="cs-CZ"/>
        </w:rPr>
        <w:t xml:space="preserve"> </w:t>
      </w:r>
    </w:p>
    <w:p w:rsidR="00B80D7F" w:rsidRPr="00D14F8A" w:rsidRDefault="00B80D7F" w:rsidP="00B80D7F">
      <w:pPr>
        <w:pStyle w:val="Odstavecseseznamem"/>
        <w:numPr>
          <w:ilvl w:val="0"/>
          <w:numId w:val="9"/>
        </w:numPr>
        <w:spacing w:after="0" w:line="240" w:lineRule="auto"/>
        <w:rPr>
          <w:rFonts w:eastAsia="Times New Roman" w:cstheme="minorHAnsi"/>
          <w:sz w:val="20"/>
          <w:szCs w:val="20"/>
          <w:lang w:eastAsia="cs-CZ"/>
        </w:rPr>
      </w:pPr>
      <w:r w:rsidRPr="00D14F8A">
        <w:rPr>
          <w:rFonts w:eastAsia="Times New Roman" w:cstheme="minorHAnsi"/>
          <w:sz w:val="20"/>
          <w:szCs w:val="20"/>
          <w:lang w:eastAsia="cs-CZ"/>
        </w:rPr>
        <w:t>Vzájemný vztah 2 právních subjektů (státu a organizace)</w:t>
      </w:r>
      <w:r w:rsidR="00D14F8A" w:rsidRPr="00D14F8A">
        <w:rPr>
          <w:rFonts w:eastAsia="Times New Roman" w:cstheme="minorHAnsi"/>
          <w:sz w:val="20"/>
          <w:szCs w:val="20"/>
          <w:lang w:eastAsia="cs-CZ"/>
        </w:rPr>
        <w:t xml:space="preserve"> - </w:t>
      </w:r>
      <w:r w:rsidR="00510395" w:rsidRPr="00D14F8A">
        <w:rPr>
          <w:rFonts w:eastAsia="Times New Roman" w:cstheme="minorHAnsi"/>
          <w:sz w:val="20"/>
          <w:szCs w:val="20"/>
          <w:lang w:eastAsia="cs-CZ"/>
        </w:rPr>
        <w:t>o</w:t>
      </w:r>
      <w:r w:rsidRPr="00D14F8A">
        <w:rPr>
          <w:rFonts w:eastAsia="Times New Roman" w:cstheme="minorHAnsi"/>
          <w:sz w:val="20"/>
          <w:szCs w:val="20"/>
          <w:lang w:eastAsia="cs-CZ"/>
        </w:rPr>
        <w:t>bsahem členství jsou práva a povinnosti</w:t>
      </w:r>
      <w:r w:rsidR="00A62513" w:rsidRPr="00D14F8A">
        <w:rPr>
          <w:rFonts w:eastAsia="Times New Roman" w:cstheme="minorHAnsi"/>
          <w:sz w:val="20"/>
          <w:szCs w:val="20"/>
          <w:lang w:eastAsia="cs-CZ"/>
        </w:rPr>
        <w:t xml:space="preserve"> vyplývající ze smluv</w:t>
      </w:r>
    </w:p>
    <w:p w:rsidR="00B80D7F" w:rsidRDefault="00B80D7F" w:rsidP="00D14F8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Povinnosti státu odpovídají práva EU a </w:t>
      </w:r>
      <w:r w:rsidR="007850C3">
        <w:rPr>
          <w:rFonts w:eastAsia="Times New Roman" w:cstheme="minorHAnsi"/>
          <w:sz w:val="20"/>
          <w:szCs w:val="20"/>
          <w:lang w:eastAsia="cs-CZ"/>
        </w:rPr>
        <w:t>povinnostem</w:t>
      </w:r>
      <w:r>
        <w:rPr>
          <w:rFonts w:eastAsia="Times New Roman" w:cstheme="minorHAnsi"/>
          <w:sz w:val="20"/>
          <w:szCs w:val="20"/>
          <w:lang w:eastAsia="cs-CZ"/>
        </w:rPr>
        <w:t xml:space="preserve"> EU odpovídají práva členského státu</w:t>
      </w:r>
    </w:p>
    <w:p w:rsidR="00B80D7F" w:rsidRDefault="00B80D7F" w:rsidP="00B80D7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Členské státy</w:t>
      </w:r>
    </w:p>
    <w:p w:rsidR="00B80D7F" w:rsidRDefault="00B80D7F" w:rsidP="00B80D7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Povinnost respektovat všechny povinnosti na principu loajality</w:t>
      </w:r>
      <w:r w:rsidR="00A62513">
        <w:rPr>
          <w:rFonts w:eastAsia="Times New Roman" w:cstheme="minorHAnsi"/>
          <w:sz w:val="20"/>
          <w:szCs w:val="20"/>
          <w:lang w:eastAsia="cs-CZ"/>
        </w:rPr>
        <w:t xml:space="preserve"> a věrnosti</w:t>
      </w:r>
    </w:p>
    <w:p w:rsidR="00A62513" w:rsidRDefault="00B80D7F" w:rsidP="00B80D7F">
      <w:pPr>
        <w:pStyle w:val="Odstavecseseznamem"/>
        <w:numPr>
          <w:ilvl w:val="2"/>
          <w:numId w:val="9"/>
        </w:numPr>
        <w:spacing w:after="0" w:line="240" w:lineRule="auto"/>
        <w:rPr>
          <w:rFonts w:eastAsia="Times New Roman" w:cstheme="minorHAnsi"/>
          <w:sz w:val="20"/>
          <w:szCs w:val="20"/>
          <w:lang w:eastAsia="cs-CZ"/>
        </w:rPr>
      </w:pPr>
      <w:r w:rsidRPr="00D2619D">
        <w:rPr>
          <w:rFonts w:eastAsia="Times New Roman" w:cstheme="minorHAnsi"/>
          <w:sz w:val="20"/>
          <w:szCs w:val="20"/>
          <w:lang w:eastAsia="cs-CZ"/>
        </w:rPr>
        <w:t>Povinnost být aktivní vůči EU při plnění úkolů</w:t>
      </w:r>
      <w:r w:rsidR="00D2619D" w:rsidRPr="00D2619D">
        <w:rPr>
          <w:rFonts w:eastAsia="Times New Roman" w:cstheme="minorHAnsi"/>
          <w:sz w:val="20"/>
          <w:szCs w:val="20"/>
          <w:lang w:eastAsia="cs-CZ"/>
        </w:rPr>
        <w:t xml:space="preserve"> a </w:t>
      </w:r>
      <w:r w:rsidR="00A62513" w:rsidRPr="00D2619D">
        <w:rPr>
          <w:rFonts w:eastAsia="Times New Roman" w:cstheme="minorHAnsi"/>
          <w:sz w:val="20"/>
          <w:szCs w:val="20"/>
          <w:lang w:eastAsia="cs-CZ"/>
        </w:rPr>
        <w:t>zdržet se určitého jednání</w:t>
      </w:r>
    </w:p>
    <w:p w:rsidR="00D2619D" w:rsidRDefault="00D2619D" w:rsidP="00B80D7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Právo podílet se na rozhodování EU v otázkách svěřených EU</w:t>
      </w:r>
    </w:p>
    <w:p w:rsidR="00D2619D" w:rsidRDefault="00D2619D" w:rsidP="00B80D7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Právo čerpat z rozpočtu EU dotace a povinnost přispívat</w:t>
      </w:r>
      <w:r w:rsidR="007850C3">
        <w:rPr>
          <w:rFonts w:eastAsia="Times New Roman" w:cstheme="minorHAnsi"/>
          <w:sz w:val="20"/>
          <w:szCs w:val="20"/>
          <w:lang w:eastAsia="cs-CZ"/>
        </w:rPr>
        <w:t xml:space="preserve"> do rozpočtu EU</w:t>
      </w:r>
    </w:p>
    <w:p w:rsidR="00D2619D" w:rsidRPr="00D2619D" w:rsidRDefault="00D2619D" w:rsidP="00B80D7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Právo využívat práv vyplývajících ze zapojení do vnitřního trhu a obrátit se na ESD</w:t>
      </w:r>
    </w:p>
    <w:p w:rsidR="00A62513" w:rsidRDefault="00A62513" w:rsidP="00A6251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EU</w:t>
      </w:r>
    </w:p>
    <w:p w:rsidR="00A62513" w:rsidRDefault="00A62513" w:rsidP="00B80D7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Povinnost respektovat národní identitu státu a chránit jeho oprávněné zájmy</w:t>
      </w:r>
    </w:p>
    <w:p w:rsidR="00862577" w:rsidRDefault="00862577" w:rsidP="00B80D7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Povinnost spolupracovat s členskými státy</w:t>
      </w:r>
    </w:p>
    <w:p w:rsidR="00862577" w:rsidRDefault="00862577" w:rsidP="00B80D7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Povinnost přihlížet k legitimním zájmům členských států</w:t>
      </w:r>
      <w:r w:rsidR="00DA0C42">
        <w:rPr>
          <w:rStyle w:val="Znakapoznpodarou"/>
          <w:rFonts w:eastAsia="Times New Roman" w:cstheme="minorHAnsi"/>
          <w:sz w:val="20"/>
          <w:szCs w:val="20"/>
          <w:lang w:eastAsia="cs-CZ"/>
        </w:rPr>
        <w:footnoteReference w:id="2"/>
      </w:r>
    </w:p>
    <w:p w:rsidR="00D2619D" w:rsidRDefault="009E58B9" w:rsidP="00B80D7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Výlučná pravomoc rozhodování o celní unii, měnové politice pro účastnické státy EMU, společné obchodní politice, stanovení pravidel hospodářské soutěže, zachování biologických mořských zdrojů, uzavírání mezinárodních smluv</w:t>
      </w:r>
    </w:p>
    <w:p w:rsidR="005F16C1" w:rsidRPr="006259E4" w:rsidRDefault="005F16C1" w:rsidP="006259E4">
      <w:pPr>
        <w:pStyle w:val="Nadpis2"/>
        <w:spacing w:before="0"/>
        <w:rPr>
          <w:rFonts w:eastAsia="Times New Roman"/>
          <w:lang w:eastAsia="cs-CZ"/>
        </w:rPr>
      </w:pPr>
      <w:bookmarkStart w:id="11" w:name="_Toc282320125"/>
      <w:r w:rsidRPr="006259E4">
        <w:rPr>
          <w:rFonts w:eastAsia="Times New Roman"/>
          <w:lang w:eastAsia="cs-CZ"/>
        </w:rPr>
        <w:t>e) zánik členství v EU</w:t>
      </w:r>
      <w:bookmarkEnd w:id="11"/>
      <w:r w:rsidRPr="006259E4">
        <w:rPr>
          <w:rFonts w:eastAsia="Times New Roman"/>
          <w:lang w:eastAsia="cs-CZ"/>
        </w:rPr>
        <w:t xml:space="preserve"> </w:t>
      </w:r>
    </w:p>
    <w:p w:rsidR="00DA0C42" w:rsidRDefault="00DA0C42" w:rsidP="00DA0C42">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Členský stát nelze z EU vyloučit, pouze mu lze pozastavit členská práva</w:t>
      </w:r>
      <w:r w:rsidR="00C006C3">
        <w:rPr>
          <w:rFonts w:eastAsia="Times New Roman" w:cstheme="minorHAnsi"/>
          <w:sz w:val="20"/>
          <w:szCs w:val="20"/>
          <w:lang w:eastAsia="cs-CZ"/>
        </w:rPr>
        <w:t xml:space="preserve"> </w:t>
      </w:r>
    </w:p>
    <w:p w:rsidR="00DA0C42" w:rsidRDefault="00DA0C42" w:rsidP="00DA0C42">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Vystoupení z EU</w:t>
      </w:r>
    </w:p>
    <w:p w:rsidR="00DA0C42" w:rsidRDefault="00C006C3" w:rsidP="00DA0C42">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Stát oznámí svůj záměr Evropské radě</w:t>
      </w:r>
    </w:p>
    <w:p w:rsidR="00C006C3" w:rsidRDefault="00C006C3" w:rsidP="00C006C3">
      <w:pPr>
        <w:pStyle w:val="Odstavecseseznamem"/>
        <w:numPr>
          <w:ilvl w:val="1"/>
          <w:numId w:val="9"/>
        </w:numPr>
        <w:spacing w:after="0" w:line="240" w:lineRule="auto"/>
        <w:rPr>
          <w:rFonts w:eastAsia="Times New Roman" w:cstheme="minorHAnsi"/>
          <w:sz w:val="20"/>
          <w:szCs w:val="20"/>
          <w:lang w:eastAsia="cs-CZ"/>
        </w:rPr>
      </w:pPr>
      <w:r w:rsidRPr="00C006C3">
        <w:rPr>
          <w:rFonts w:eastAsia="Times New Roman" w:cstheme="minorHAnsi"/>
          <w:sz w:val="20"/>
          <w:szCs w:val="20"/>
          <w:lang w:eastAsia="cs-CZ"/>
        </w:rPr>
        <w:t>Rada EU sjedná a uzavře dohodou o podmínkách vystoupení (</w:t>
      </w:r>
      <w:r>
        <w:rPr>
          <w:rFonts w:eastAsia="Times New Roman" w:cstheme="minorHAnsi"/>
          <w:sz w:val="20"/>
          <w:szCs w:val="20"/>
          <w:lang w:eastAsia="cs-CZ"/>
        </w:rPr>
        <w:t>p</w:t>
      </w:r>
      <w:r w:rsidRPr="00C006C3">
        <w:rPr>
          <w:rFonts w:eastAsia="Times New Roman" w:cstheme="minorHAnsi"/>
          <w:sz w:val="20"/>
          <w:szCs w:val="20"/>
          <w:lang w:eastAsia="cs-CZ"/>
        </w:rPr>
        <w:t xml:space="preserve">o </w:t>
      </w:r>
      <w:r>
        <w:rPr>
          <w:rFonts w:eastAsia="Times New Roman" w:cstheme="minorHAnsi"/>
          <w:sz w:val="20"/>
          <w:szCs w:val="20"/>
          <w:lang w:eastAsia="cs-CZ"/>
        </w:rPr>
        <w:t>obdržení souhlasu EP)</w:t>
      </w:r>
    </w:p>
    <w:p w:rsidR="00C006C3" w:rsidRDefault="00C006C3" w:rsidP="00C006C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Smlouvy EU přestávají být pro vystupující stát použitelné dnem vstupu dohody v platnost nebo 2 roky po oznámení záměru vystoupit.</w:t>
      </w:r>
    </w:p>
    <w:p w:rsidR="007A5382" w:rsidRPr="00C006C3" w:rsidRDefault="007A5382" w:rsidP="00C006C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Zástupce vystupujícího státu nemá právo podílet se na jednáních a rozhodnutích </w:t>
      </w:r>
      <w:r w:rsidR="00510395">
        <w:rPr>
          <w:rFonts w:eastAsia="Times New Roman" w:cstheme="minorHAnsi"/>
          <w:sz w:val="20"/>
          <w:szCs w:val="20"/>
          <w:lang w:eastAsia="cs-CZ"/>
        </w:rPr>
        <w:t>týkajících se vystupující</w:t>
      </w:r>
      <w:r>
        <w:rPr>
          <w:rFonts w:eastAsia="Times New Roman" w:cstheme="minorHAnsi"/>
          <w:sz w:val="20"/>
          <w:szCs w:val="20"/>
          <w:lang w:eastAsia="cs-CZ"/>
        </w:rPr>
        <w:t>ho státu</w:t>
      </w:r>
    </w:p>
    <w:p w:rsidR="00DA0C42" w:rsidRDefault="00DA0C42" w:rsidP="00DA0C42">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Pozastavení členských práv</w:t>
      </w:r>
    </w:p>
    <w:p w:rsidR="00DA0C42" w:rsidRDefault="00510395" w:rsidP="00DA0C42">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Stát vážně a trvale porušuje svobodu, demokracii, lidská práva a základní svobody a vládu zákona</w:t>
      </w:r>
    </w:p>
    <w:p w:rsidR="00510395" w:rsidRDefault="00510395" w:rsidP="00DA0C42">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Rada EU vyslechne stát a vydá doporučení (návrh 1/3 členů, EP nebo EK)</w:t>
      </w:r>
    </w:p>
    <w:p w:rsidR="00510395" w:rsidRDefault="00510395" w:rsidP="00DA0C42">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Evropská rada jednomyslně rozhodne o porušení hodnot v bodě 1 a vyzve stát k vyjádření (návrh 1/3 členů nebo EK a po souhlasu EP)</w:t>
      </w:r>
    </w:p>
    <w:p w:rsidR="00510395" w:rsidRDefault="00510395" w:rsidP="00DA0C42">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Rada EU kva</w:t>
      </w:r>
      <w:r w:rsidR="008329BE">
        <w:rPr>
          <w:rFonts w:eastAsia="Times New Roman" w:cstheme="minorHAnsi"/>
          <w:sz w:val="20"/>
          <w:szCs w:val="20"/>
          <w:lang w:eastAsia="cs-CZ"/>
        </w:rPr>
        <w:t>lifikovanou většinou rozhodne pozastavení některých práv včetně hlasovacích</w:t>
      </w:r>
    </w:p>
    <w:p w:rsidR="008329BE" w:rsidRDefault="008329BE" w:rsidP="00DA0C42">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Rada EU může kvalifikovanou většinou rozhodnout o změně nebo zrušení opatření</w:t>
      </w:r>
    </w:p>
    <w:p w:rsidR="00F17880" w:rsidRDefault="00F17880" w:rsidP="00DA0C42">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lastRenderedPageBreak/>
        <w:t>Povinnosti státu zůstávají</w:t>
      </w:r>
    </w:p>
    <w:p w:rsidR="005F16C1" w:rsidRPr="00652AD3" w:rsidRDefault="005F16C1" w:rsidP="00652AD3">
      <w:pPr>
        <w:pStyle w:val="Nadpis1"/>
        <w:rPr>
          <w:rFonts w:eastAsia="Times New Roman"/>
          <w:lang w:eastAsia="cs-CZ"/>
        </w:rPr>
      </w:pPr>
      <w:bookmarkStart w:id="12" w:name="_Toc282320126"/>
      <w:r w:rsidRPr="00652AD3">
        <w:rPr>
          <w:rFonts w:eastAsia="Times New Roman"/>
          <w:lang w:eastAsia="cs-CZ"/>
        </w:rPr>
        <w:t>3. Unijní občanství</w:t>
      </w:r>
      <w:bookmarkEnd w:id="12"/>
      <w:r w:rsidRPr="00652AD3">
        <w:rPr>
          <w:rFonts w:eastAsia="Times New Roman"/>
          <w:lang w:eastAsia="cs-CZ"/>
        </w:rPr>
        <w:t xml:space="preserve"> </w:t>
      </w:r>
    </w:p>
    <w:p w:rsidR="005F16C1" w:rsidRDefault="005F16C1" w:rsidP="00652AD3">
      <w:pPr>
        <w:pStyle w:val="Nadpis2"/>
        <w:spacing w:before="0"/>
        <w:rPr>
          <w:rFonts w:eastAsia="Times New Roman"/>
          <w:lang w:eastAsia="cs-CZ"/>
        </w:rPr>
      </w:pPr>
      <w:bookmarkStart w:id="13" w:name="_Toc282320127"/>
      <w:r w:rsidRPr="00652AD3">
        <w:rPr>
          <w:rFonts w:eastAsia="Times New Roman"/>
          <w:lang w:eastAsia="cs-CZ"/>
        </w:rPr>
        <w:t>a) Unijní občanství jako institut doplňující stát</w:t>
      </w:r>
      <w:r w:rsidR="00652AD3">
        <w:rPr>
          <w:rFonts w:eastAsia="Times New Roman"/>
          <w:lang w:eastAsia="cs-CZ"/>
        </w:rPr>
        <w:t>ní občanství členských států EU</w:t>
      </w:r>
      <w:bookmarkEnd w:id="13"/>
    </w:p>
    <w:p w:rsidR="00652AD3" w:rsidRDefault="00DD2058" w:rsidP="00DD2058">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UO bylo zavedeno Maastrichtskou smlouvou a je vázáno na občanství členského státu</w:t>
      </w:r>
    </w:p>
    <w:p w:rsidR="00DD2058" w:rsidRDefault="00DD2058" w:rsidP="00DD2058">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UO nebrání zbavení vlastního občana občanství, pokud mu to právní řád umožňuje (v ČR neumožňuje)</w:t>
      </w:r>
    </w:p>
    <w:p w:rsidR="005F16C1" w:rsidRPr="00652AD3" w:rsidRDefault="005F16C1" w:rsidP="00652AD3">
      <w:pPr>
        <w:pStyle w:val="Nadpis2"/>
        <w:spacing w:before="0"/>
        <w:rPr>
          <w:rFonts w:eastAsia="Times New Roman"/>
          <w:lang w:eastAsia="cs-CZ"/>
        </w:rPr>
      </w:pPr>
      <w:bookmarkStart w:id="14" w:name="_Toc282320128"/>
      <w:r w:rsidRPr="00652AD3">
        <w:rPr>
          <w:rFonts w:eastAsia="Times New Roman"/>
          <w:lang w:eastAsia="cs-CZ"/>
        </w:rPr>
        <w:t>b) katalog práv vyplývajících z unijního občanství</w:t>
      </w:r>
      <w:bookmarkEnd w:id="14"/>
      <w:r w:rsidRPr="00652AD3">
        <w:rPr>
          <w:rFonts w:eastAsia="Times New Roman"/>
          <w:lang w:eastAsia="cs-CZ"/>
        </w:rPr>
        <w:t xml:space="preserve"> </w:t>
      </w:r>
    </w:p>
    <w:p w:rsidR="005F16C1" w:rsidRDefault="005F16C1" w:rsidP="00652AD3">
      <w:pPr>
        <w:pStyle w:val="Odstavecseseznamem"/>
        <w:numPr>
          <w:ilvl w:val="0"/>
          <w:numId w:val="9"/>
        </w:numPr>
        <w:spacing w:after="0" w:line="240" w:lineRule="auto"/>
        <w:rPr>
          <w:rFonts w:eastAsia="Times New Roman" w:cstheme="minorHAnsi"/>
          <w:sz w:val="20"/>
          <w:szCs w:val="20"/>
          <w:lang w:eastAsia="cs-CZ"/>
        </w:rPr>
      </w:pPr>
      <w:r w:rsidRPr="005F16C1">
        <w:rPr>
          <w:rFonts w:eastAsia="Times New Roman" w:cstheme="minorHAnsi"/>
          <w:sz w:val="20"/>
          <w:szCs w:val="20"/>
          <w:lang w:eastAsia="cs-CZ"/>
        </w:rPr>
        <w:t xml:space="preserve">aktivní a pasivní právo volit v komunálních volbách a ve volbách do </w:t>
      </w:r>
      <w:r w:rsidR="00DD2058">
        <w:rPr>
          <w:rFonts w:eastAsia="Times New Roman" w:cstheme="minorHAnsi"/>
          <w:sz w:val="20"/>
          <w:szCs w:val="20"/>
          <w:lang w:eastAsia="cs-CZ"/>
        </w:rPr>
        <w:t>EP</w:t>
      </w:r>
    </w:p>
    <w:p w:rsidR="00DD2058" w:rsidRDefault="00DD2058" w:rsidP="00DD2058">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komunální volby</w:t>
      </w:r>
    </w:p>
    <w:p w:rsidR="00DD2058" w:rsidRDefault="00DD2058" w:rsidP="00DD2058">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 kterémkoliv členském státě (mimo Lucemburku, omezení ve Francii a Belgii)</w:t>
      </w:r>
    </w:p>
    <w:p w:rsidR="00DD2058" w:rsidRDefault="00DD2058" w:rsidP="00DD2058">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aktivní i pasivní 18 let</w:t>
      </w:r>
    </w:p>
    <w:p w:rsidR="00DD2058" w:rsidRDefault="00DD2058" w:rsidP="00DD2058">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do EP</w:t>
      </w:r>
    </w:p>
    <w:p w:rsidR="00DD2058" w:rsidRDefault="00DD2058" w:rsidP="00DD2058">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volby jednou za 5 let</w:t>
      </w:r>
    </w:p>
    <w:p w:rsidR="00DD2058" w:rsidRDefault="00DD2058" w:rsidP="00DD2058">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aktivní 18 let, pasivní 21 let</w:t>
      </w:r>
    </w:p>
    <w:p w:rsidR="00DD2058" w:rsidRPr="005F16C1" w:rsidRDefault="00DD2058" w:rsidP="00DD2058">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kandidují politické strany a hnutí</w:t>
      </w:r>
    </w:p>
    <w:p w:rsidR="005F16C1" w:rsidRDefault="005F16C1" w:rsidP="00652AD3">
      <w:pPr>
        <w:pStyle w:val="Odstavecseseznamem"/>
        <w:numPr>
          <w:ilvl w:val="0"/>
          <w:numId w:val="9"/>
        </w:numPr>
        <w:spacing w:after="0" w:line="240" w:lineRule="auto"/>
        <w:rPr>
          <w:rFonts w:eastAsia="Times New Roman" w:cstheme="minorHAnsi"/>
          <w:sz w:val="20"/>
          <w:szCs w:val="20"/>
          <w:lang w:eastAsia="cs-CZ"/>
        </w:rPr>
      </w:pPr>
      <w:r w:rsidRPr="005F16C1">
        <w:rPr>
          <w:rFonts w:eastAsia="Times New Roman" w:cstheme="minorHAnsi"/>
          <w:sz w:val="20"/>
          <w:szCs w:val="20"/>
          <w:lang w:eastAsia="cs-CZ"/>
        </w:rPr>
        <w:t>petičn</w:t>
      </w:r>
      <w:r w:rsidR="00DD2058">
        <w:rPr>
          <w:rFonts w:eastAsia="Times New Roman" w:cstheme="minorHAnsi"/>
          <w:sz w:val="20"/>
          <w:szCs w:val="20"/>
          <w:lang w:eastAsia="cs-CZ"/>
        </w:rPr>
        <w:t>í právo k EP</w:t>
      </w:r>
    </w:p>
    <w:p w:rsidR="005F16C1" w:rsidRDefault="005F16C1" w:rsidP="00652AD3">
      <w:pPr>
        <w:pStyle w:val="Odstavecseseznamem"/>
        <w:numPr>
          <w:ilvl w:val="0"/>
          <w:numId w:val="9"/>
        </w:numPr>
        <w:spacing w:after="0" w:line="240" w:lineRule="auto"/>
        <w:rPr>
          <w:rFonts w:eastAsia="Times New Roman" w:cstheme="minorHAnsi"/>
          <w:sz w:val="20"/>
          <w:szCs w:val="20"/>
          <w:lang w:eastAsia="cs-CZ"/>
        </w:rPr>
      </w:pPr>
      <w:r w:rsidRPr="005F16C1">
        <w:rPr>
          <w:rFonts w:eastAsia="Times New Roman" w:cstheme="minorHAnsi"/>
          <w:sz w:val="20"/>
          <w:szCs w:val="20"/>
          <w:lang w:eastAsia="cs-CZ"/>
        </w:rPr>
        <w:t xml:space="preserve">právo obracet </w:t>
      </w:r>
      <w:r w:rsidR="00872A90">
        <w:rPr>
          <w:rFonts w:eastAsia="Times New Roman" w:cstheme="minorHAnsi"/>
          <w:sz w:val="20"/>
          <w:szCs w:val="20"/>
          <w:lang w:eastAsia="cs-CZ"/>
        </w:rPr>
        <w:t>se písemně k hlavním orgánům EU</w:t>
      </w:r>
    </w:p>
    <w:p w:rsidR="00872A90" w:rsidRPr="005F16C1" w:rsidRDefault="002973FC" w:rsidP="00872A90">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 kterémkoliv z oficiálních jazyků a dostat v něm i odpověď</w:t>
      </w:r>
    </w:p>
    <w:p w:rsidR="005F16C1" w:rsidRDefault="005F16C1" w:rsidP="00652AD3">
      <w:pPr>
        <w:pStyle w:val="Odstavecseseznamem"/>
        <w:numPr>
          <w:ilvl w:val="0"/>
          <w:numId w:val="9"/>
        </w:numPr>
        <w:spacing w:after="0" w:line="240" w:lineRule="auto"/>
        <w:rPr>
          <w:rFonts w:eastAsia="Times New Roman" w:cstheme="minorHAnsi"/>
          <w:sz w:val="20"/>
          <w:szCs w:val="20"/>
          <w:lang w:eastAsia="cs-CZ"/>
        </w:rPr>
      </w:pPr>
      <w:r w:rsidRPr="005F16C1">
        <w:rPr>
          <w:rFonts w:eastAsia="Times New Roman" w:cstheme="minorHAnsi"/>
          <w:sz w:val="20"/>
          <w:szCs w:val="20"/>
          <w:lang w:eastAsia="cs-CZ"/>
        </w:rPr>
        <w:t>právo obracet se stíž</w:t>
      </w:r>
      <w:r w:rsidR="002973FC">
        <w:rPr>
          <w:rFonts w:eastAsia="Times New Roman" w:cstheme="minorHAnsi"/>
          <w:sz w:val="20"/>
          <w:szCs w:val="20"/>
          <w:lang w:eastAsia="cs-CZ"/>
        </w:rPr>
        <w:t>nostmi na Evropského ombudsmana</w:t>
      </w:r>
    </w:p>
    <w:p w:rsidR="002973FC" w:rsidRPr="005F16C1" w:rsidRDefault="002973FC" w:rsidP="002973FC">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stížnost na nesprávnost v úředních postupech orgánů EU, ne na rozhodovací činnost ESD</w:t>
      </w:r>
    </w:p>
    <w:p w:rsidR="005F16C1" w:rsidRPr="005F16C1" w:rsidRDefault="005F16C1" w:rsidP="00652AD3">
      <w:pPr>
        <w:pStyle w:val="Odstavecseseznamem"/>
        <w:numPr>
          <w:ilvl w:val="0"/>
          <w:numId w:val="9"/>
        </w:numPr>
        <w:spacing w:after="0" w:line="240" w:lineRule="auto"/>
        <w:rPr>
          <w:rFonts w:eastAsia="Times New Roman" w:cstheme="minorHAnsi"/>
          <w:sz w:val="20"/>
          <w:szCs w:val="20"/>
          <w:lang w:eastAsia="cs-CZ"/>
        </w:rPr>
      </w:pPr>
      <w:r w:rsidRPr="005F16C1">
        <w:rPr>
          <w:rFonts w:eastAsia="Times New Roman" w:cstheme="minorHAnsi"/>
          <w:sz w:val="20"/>
          <w:szCs w:val="20"/>
          <w:lang w:eastAsia="cs-CZ"/>
        </w:rPr>
        <w:t>práv</w:t>
      </w:r>
      <w:r w:rsidRPr="009C50F4">
        <w:rPr>
          <w:rFonts w:eastAsia="Times New Roman" w:cstheme="minorHAnsi"/>
          <w:sz w:val="20"/>
          <w:szCs w:val="20"/>
          <w:lang w:eastAsia="cs-CZ"/>
        </w:rPr>
        <w:t>o na přístup k dokumentům hlavn</w:t>
      </w:r>
      <w:r w:rsidRPr="005F16C1">
        <w:rPr>
          <w:rFonts w:eastAsia="Times New Roman" w:cstheme="minorHAnsi"/>
          <w:sz w:val="20"/>
          <w:szCs w:val="20"/>
          <w:lang w:eastAsia="cs-CZ"/>
        </w:rPr>
        <w:t xml:space="preserve">ích orgánů EU </w:t>
      </w:r>
    </w:p>
    <w:p w:rsidR="005F16C1" w:rsidRPr="005F16C1" w:rsidRDefault="005F16C1" w:rsidP="00652AD3">
      <w:pPr>
        <w:pStyle w:val="Odstavecseseznamem"/>
        <w:numPr>
          <w:ilvl w:val="0"/>
          <w:numId w:val="9"/>
        </w:numPr>
        <w:spacing w:after="0" w:line="240" w:lineRule="auto"/>
        <w:rPr>
          <w:rFonts w:eastAsia="Times New Roman" w:cstheme="minorHAnsi"/>
          <w:sz w:val="20"/>
          <w:szCs w:val="20"/>
          <w:lang w:eastAsia="cs-CZ"/>
        </w:rPr>
      </w:pPr>
      <w:r w:rsidRPr="005F16C1">
        <w:rPr>
          <w:rFonts w:eastAsia="Times New Roman" w:cstheme="minorHAnsi"/>
          <w:sz w:val="20"/>
          <w:szCs w:val="20"/>
          <w:lang w:eastAsia="cs-CZ"/>
        </w:rPr>
        <w:t xml:space="preserve">právo na diplomatickou a konzulární ochranu </w:t>
      </w:r>
    </w:p>
    <w:p w:rsidR="005F16C1" w:rsidRPr="005F16C1" w:rsidRDefault="005F16C1" w:rsidP="00652AD3">
      <w:pPr>
        <w:pStyle w:val="Odstavecseseznamem"/>
        <w:numPr>
          <w:ilvl w:val="0"/>
          <w:numId w:val="9"/>
        </w:numPr>
        <w:spacing w:after="0" w:line="240" w:lineRule="auto"/>
        <w:rPr>
          <w:rFonts w:eastAsia="Times New Roman" w:cstheme="minorHAnsi"/>
          <w:sz w:val="20"/>
          <w:szCs w:val="20"/>
          <w:lang w:eastAsia="cs-CZ"/>
        </w:rPr>
      </w:pPr>
      <w:r w:rsidRPr="005F16C1">
        <w:rPr>
          <w:rFonts w:eastAsia="Times New Roman" w:cstheme="minorHAnsi"/>
          <w:sz w:val="20"/>
          <w:szCs w:val="20"/>
          <w:lang w:eastAsia="cs-CZ"/>
        </w:rPr>
        <w:t xml:space="preserve">právo volně vstupovat na území kteréhokoliv členského státu </w:t>
      </w:r>
    </w:p>
    <w:p w:rsidR="005F16C1" w:rsidRPr="005F16C1" w:rsidRDefault="005F16C1" w:rsidP="00652AD3">
      <w:pPr>
        <w:pStyle w:val="Odstavecseseznamem"/>
        <w:numPr>
          <w:ilvl w:val="0"/>
          <w:numId w:val="9"/>
        </w:numPr>
        <w:spacing w:after="0" w:line="240" w:lineRule="auto"/>
        <w:rPr>
          <w:rFonts w:eastAsia="Times New Roman" w:cstheme="minorHAnsi"/>
          <w:sz w:val="20"/>
          <w:szCs w:val="20"/>
          <w:lang w:eastAsia="cs-CZ"/>
        </w:rPr>
      </w:pPr>
      <w:r w:rsidRPr="005F16C1">
        <w:rPr>
          <w:rFonts w:eastAsia="Times New Roman" w:cstheme="minorHAnsi"/>
          <w:sz w:val="20"/>
          <w:szCs w:val="20"/>
          <w:lang w:eastAsia="cs-CZ"/>
        </w:rPr>
        <w:t xml:space="preserve">právo ucházet se o zaměstnání a vykonávat zaměstnání nebo podnikat v jakémkoliv členském státu za stejných podmínek jako státní </w:t>
      </w:r>
      <w:r w:rsidRPr="009C50F4">
        <w:rPr>
          <w:rFonts w:eastAsia="Times New Roman" w:cstheme="minorHAnsi"/>
          <w:sz w:val="20"/>
          <w:szCs w:val="20"/>
          <w:lang w:eastAsia="cs-CZ"/>
        </w:rPr>
        <w:t>příslušníci</w:t>
      </w:r>
      <w:r w:rsidRPr="005F16C1">
        <w:rPr>
          <w:rFonts w:eastAsia="Times New Roman" w:cstheme="minorHAnsi"/>
          <w:sz w:val="20"/>
          <w:szCs w:val="20"/>
          <w:lang w:eastAsia="cs-CZ"/>
        </w:rPr>
        <w:t xml:space="preserve"> přijímacího členského státu </w:t>
      </w:r>
    </w:p>
    <w:p w:rsidR="005F16C1" w:rsidRPr="00652AD3" w:rsidRDefault="005F16C1" w:rsidP="00652AD3">
      <w:pPr>
        <w:pStyle w:val="Nadpis2"/>
        <w:spacing w:before="0"/>
        <w:rPr>
          <w:rFonts w:eastAsia="Times New Roman"/>
          <w:lang w:eastAsia="cs-CZ"/>
        </w:rPr>
      </w:pPr>
      <w:bookmarkStart w:id="15" w:name="_Toc282320129"/>
      <w:r w:rsidRPr="00652AD3">
        <w:rPr>
          <w:rFonts w:eastAsia="Times New Roman"/>
          <w:lang w:eastAsia="cs-CZ"/>
        </w:rPr>
        <w:t>c) práva občanů ČR jako unijních občanů po vstupu ČR do EU</w:t>
      </w:r>
      <w:bookmarkEnd w:id="15"/>
      <w:r w:rsidRPr="00652AD3">
        <w:rPr>
          <w:rFonts w:eastAsia="Times New Roman"/>
          <w:lang w:eastAsia="cs-CZ"/>
        </w:rPr>
        <w:t xml:space="preserve"> </w:t>
      </w:r>
    </w:p>
    <w:p w:rsidR="002973FC" w:rsidRDefault="001A630E" w:rsidP="002973FC">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volný pohyb a pobyt po celé EU</w:t>
      </w:r>
    </w:p>
    <w:p w:rsidR="002973FC" w:rsidRDefault="001A630E" w:rsidP="001A630E">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možnost zamezit vstupu z důvodu ochrany veřejného pořádku, veřejné bezpečnosti a zdraví</w:t>
      </w:r>
    </w:p>
    <w:p w:rsidR="002973FC" w:rsidRDefault="001A630E" w:rsidP="002973FC">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krátkodobý &lt; 3 měsíce – všichni</w:t>
      </w:r>
    </w:p>
    <w:p w:rsidR="001A630E" w:rsidRDefault="001A630E" w:rsidP="002973FC">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dlouhodobý 3 měsíce – 5 let</w:t>
      </w:r>
    </w:p>
    <w:p w:rsidR="001A630E" w:rsidRDefault="001A630E" w:rsidP="001A630E">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pracovníci - právo bez dalšího omezení</w:t>
      </w:r>
    </w:p>
    <w:p w:rsidR="001A630E" w:rsidRDefault="001A630E" w:rsidP="001A630E">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studenti, důchodci, rentiéři, turisté – lze podmínit tím, že dotyčný nepožádá o sociální dávky a má zdravotní pojištění (zde neplatí omezení z důvodu ochrany zdraví)</w:t>
      </w:r>
    </w:p>
    <w:p w:rsidR="001A630E" w:rsidRDefault="001A630E" w:rsidP="001A630E">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trvalý pobyt</w:t>
      </w:r>
    </w:p>
    <w:p w:rsidR="001A630E" w:rsidRDefault="001A630E" w:rsidP="001A630E">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právo pracovat v jiných členských státech</w:t>
      </w:r>
    </w:p>
    <w:p w:rsidR="001A630E" w:rsidRDefault="001A630E" w:rsidP="001A630E">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právo studovat v kterémkoli členském státu</w:t>
      </w:r>
    </w:p>
    <w:p w:rsidR="001A630E" w:rsidRDefault="001A630E" w:rsidP="001A630E">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volný pohyb služeb</w:t>
      </w:r>
    </w:p>
    <w:p w:rsidR="001A630E" w:rsidRDefault="001A630E" w:rsidP="001A630E">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právo nabývat nemovitost </w:t>
      </w:r>
    </w:p>
    <w:p w:rsidR="005F16C1" w:rsidRPr="00652AD3" w:rsidRDefault="005F16C1" w:rsidP="00652AD3">
      <w:pPr>
        <w:pStyle w:val="Nadpis2"/>
        <w:spacing w:before="0"/>
        <w:rPr>
          <w:rFonts w:eastAsia="Times New Roman"/>
          <w:lang w:eastAsia="cs-CZ"/>
        </w:rPr>
      </w:pPr>
      <w:bookmarkStart w:id="16" w:name="_Toc282320130"/>
      <w:r w:rsidRPr="00652AD3">
        <w:rPr>
          <w:rFonts w:eastAsia="Times New Roman"/>
          <w:lang w:eastAsia="cs-CZ"/>
        </w:rPr>
        <w:t>d) Schengenský systém</w:t>
      </w:r>
      <w:bookmarkEnd w:id="16"/>
      <w:r w:rsidRPr="00652AD3">
        <w:rPr>
          <w:rFonts w:eastAsia="Times New Roman"/>
          <w:lang w:eastAsia="cs-CZ"/>
        </w:rPr>
        <w:t xml:space="preserve"> </w:t>
      </w:r>
    </w:p>
    <w:p w:rsidR="002973FC" w:rsidRDefault="0081022C" w:rsidP="002973FC">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Vytvoření zóny volného pohybu se zrušením kontrol na společných vnitřních hranicích (schengenský prostor)</w:t>
      </w:r>
    </w:p>
    <w:p w:rsidR="008827A6" w:rsidRDefault="008827A6" w:rsidP="002973FC">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Představuje zvláštní formu posílené spolupráce</w:t>
      </w:r>
    </w:p>
    <w:p w:rsidR="004D7223" w:rsidRDefault="004D7223" w:rsidP="002973FC">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Členství v EU neznamená automatické členství v Schengenském systému</w:t>
      </w:r>
    </w:p>
    <w:p w:rsidR="003D1742" w:rsidRDefault="003D1742" w:rsidP="002973FC">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Schengenský hraniční kodex</w:t>
      </w:r>
    </w:p>
    <w:p w:rsidR="002973FC" w:rsidRDefault="008827A6" w:rsidP="002973FC">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1985 – první Schengenská úmluva (Benelux, Německo, Francie) o postupném odstranění kontrol</w:t>
      </w:r>
    </w:p>
    <w:p w:rsidR="002973FC" w:rsidRDefault="008827A6" w:rsidP="002973FC">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Úmluva o policejní spolupráci v oblasti prevence a stíhání zločinů, ulehčení dopravy uvnitř</w:t>
      </w:r>
    </w:p>
    <w:p w:rsidR="008827A6" w:rsidRDefault="008827A6" w:rsidP="008827A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1995 – účinnost druhé Schengenské úmluvy (podpis už 1990)</w:t>
      </w:r>
    </w:p>
    <w:p w:rsidR="008827A6" w:rsidRDefault="008827A6" w:rsidP="008827A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Zavedení Schengenského IS (SIS) – společný pátrací a informační systém na pomoc proti kriminalitě</w:t>
      </w:r>
    </w:p>
    <w:p w:rsidR="008827A6" w:rsidRDefault="008827A6" w:rsidP="008827A6">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Centrální databáze, Národní informační systém (provozuje každá smluvní strana), SIRENE</w:t>
      </w:r>
    </w:p>
    <w:p w:rsidR="008827A6" w:rsidRDefault="008827A6" w:rsidP="008827A6">
      <w:pPr>
        <w:pStyle w:val="Odstavecseseznamem"/>
        <w:numPr>
          <w:ilvl w:val="4"/>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Lustrování osob, vozidel, dohledávání kradeného majetku</w:t>
      </w:r>
    </w:p>
    <w:p w:rsidR="008827A6" w:rsidRDefault="008827A6" w:rsidP="008827A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1997 – přijetím Amsterodamské smlouvy došlo ke komunitarizaci systému Schengenských smluv</w:t>
      </w:r>
    </w:p>
    <w:p w:rsidR="008827A6" w:rsidRDefault="008827A6" w:rsidP="008827A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Vznikla společná vízová, azylová a přistěhovalecká politika + politiky volného pohybu osob</w:t>
      </w:r>
    </w:p>
    <w:p w:rsidR="006900FD" w:rsidRDefault="006900FD" w:rsidP="008827A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Schengen je plně začleněn do jednotného institucionálního rámce EU</w:t>
      </w:r>
    </w:p>
    <w:p w:rsidR="004D7223" w:rsidRDefault="004D7223" w:rsidP="004D722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2003 – zavádění jednotného schengenského víza + Vízový informační systém VISION</w:t>
      </w:r>
    </w:p>
    <w:p w:rsidR="008827A6" w:rsidRDefault="00076BA5" w:rsidP="004D722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21. 12. 2007</w:t>
      </w:r>
      <w:r w:rsidR="004D7223">
        <w:rPr>
          <w:rFonts w:eastAsia="Times New Roman" w:cstheme="minorHAnsi"/>
          <w:sz w:val="20"/>
          <w:szCs w:val="20"/>
          <w:lang w:eastAsia="cs-CZ"/>
        </w:rPr>
        <w:t xml:space="preserve"> ČR zapojeno do schengenského prostoru</w:t>
      </w:r>
    </w:p>
    <w:p w:rsidR="002973FC" w:rsidRDefault="002973FC">
      <w:pPr>
        <w:rPr>
          <w:rFonts w:eastAsia="Times New Roman" w:cstheme="minorHAnsi"/>
          <w:sz w:val="20"/>
          <w:szCs w:val="20"/>
          <w:lang w:eastAsia="cs-CZ"/>
        </w:rPr>
      </w:pPr>
      <w:r>
        <w:rPr>
          <w:rFonts w:eastAsia="Times New Roman" w:cstheme="minorHAnsi"/>
          <w:sz w:val="20"/>
          <w:szCs w:val="20"/>
          <w:lang w:eastAsia="cs-CZ"/>
        </w:rPr>
        <w:br w:type="page"/>
      </w:r>
    </w:p>
    <w:p w:rsidR="005F16C1" w:rsidRPr="0098443A" w:rsidRDefault="005F16C1" w:rsidP="0098443A">
      <w:pPr>
        <w:pStyle w:val="Nadpis1"/>
        <w:rPr>
          <w:rFonts w:eastAsia="Times New Roman"/>
          <w:lang w:eastAsia="cs-CZ"/>
        </w:rPr>
      </w:pPr>
      <w:bookmarkStart w:id="17" w:name="_Toc282320131"/>
      <w:r w:rsidRPr="0098443A">
        <w:rPr>
          <w:rFonts w:eastAsia="Times New Roman"/>
          <w:lang w:eastAsia="cs-CZ"/>
        </w:rPr>
        <w:lastRenderedPageBreak/>
        <w:t>4. Základní prameny práva EU</w:t>
      </w:r>
      <w:bookmarkEnd w:id="17"/>
      <w:r w:rsidRPr="0098443A">
        <w:rPr>
          <w:rFonts w:eastAsia="Times New Roman"/>
          <w:lang w:eastAsia="cs-CZ"/>
        </w:rPr>
        <w:t xml:space="preserve"> </w:t>
      </w:r>
    </w:p>
    <w:p w:rsidR="005F16C1" w:rsidRPr="0098443A" w:rsidRDefault="005F16C1" w:rsidP="0098443A">
      <w:pPr>
        <w:pStyle w:val="Nadpis2"/>
        <w:spacing w:before="0"/>
        <w:rPr>
          <w:rFonts w:eastAsia="Times New Roman"/>
          <w:lang w:eastAsia="cs-CZ"/>
        </w:rPr>
      </w:pPr>
      <w:bookmarkStart w:id="18" w:name="_Toc282320132"/>
      <w:r w:rsidRPr="0098443A">
        <w:rPr>
          <w:rFonts w:eastAsia="Times New Roman"/>
          <w:lang w:eastAsia="cs-CZ"/>
        </w:rPr>
        <w:t>a) primární prameny práva EU</w:t>
      </w:r>
      <w:bookmarkEnd w:id="18"/>
      <w:r w:rsidRPr="0098443A">
        <w:rPr>
          <w:rFonts w:eastAsia="Times New Roman"/>
          <w:lang w:eastAsia="cs-CZ"/>
        </w:rPr>
        <w:t xml:space="preserve"> </w:t>
      </w:r>
    </w:p>
    <w:p w:rsidR="0098443A" w:rsidRDefault="008A5EB0" w:rsidP="0098443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Považováno za „ústavní právo“. Ostatní prameny jsou podřízeny</w:t>
      </w:r>
    </w:p>
    <w:p w:rsidR="00936D84" w:rsidRDefault="00936D84" w:rsidP="008A5EB0">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Uzavírány na dobu neurčitou</w:t>
      </w:r>
    </w:p>
    <w:p w:rsidR="0098443A" w:rsidRDefault="008A5EB0" w:rsidP="008A5EB0">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Zakládající Smlouvy</w:t>
      </w:r>
    </w:p>
    <w:p w:rsidR="0098443A" w:rsidRDefault="008A5EB0" w:rsidP="008A5EB0">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SEU + SFEU + Smlouva o založení evropského společenství pro atomovou energii (SESAE)</w:t>
      </w:r>
    </w:p>
    <w:p w:rsidR="008A5EB0" w:rsidRDefault="008A5EB0" w:rsidP="008A5EB0">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Novelizace zakládacích smluv</w:t>
      </w:r>
    </w:p>
    <w:p w:rsidR="008A5EB0" w:rsidRDefault="005F1BC5" w:rsidP="008A5EB0">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Jednotný evropský akt, </w:t>
      </w:r>
      <w:r w:rsidR="008A5EB0">
        <w:rPr>
          <w:rFonts w:eastAsia="Times New Roman" w:cstheme="minorHAnsi"/>
          <w:sz w:val="20"/>
          <w:szCs w:val="20"/>
          <w:lang w:eastAsia="cs-CZ"/>
        </w:rPr>
        <w:t>Maastrichtská, Amsterodamská, Niceská, Lisabonská smlouva</w:t>
      </w:r>
    </w:p>
    <w:p w:rsidR="008A5EB0" w:rsidRDefault="008A5EB0" w:rsidP="008A5EB0">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Přílohy těchto smluv</w:t>
      </w:r>
    </w:p>
    <w:p w:rsidR="008A5EB0" w:rsidRDefault="008A5EB0" w:rsidP="008A5EB0">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Smlouvy o přistoupení členských států</w:t>
      </w:r>
    </w:p>
    <w:p w:rsidR="008A5EB0" w:rsidRDefault="008A5EB0" w:rsidP="008A5EB0">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LZP EU a její výklad</w:t>
      </w:r>
    </w:p>
    <w:p w:rsidR="008A5EB0" w:rsidRDefault="008A5EB0" w:rsidP="008A5EB0">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Vztahy mezi smlouvami</w:t>
      </w:r>
    </w:p>
    <w:p w:rsidR="008A5EB0" w:rsidRDefault="008A5EB0" w:rsidP="008A5EB0">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SEU – základní ustanovení + SFEU – doplňuje SEU</w:t>
      </w:r>
    </w:p>
    <w:p w:rsidR="008A5EB0" w:rsidRDefault="008A5EB0" w:rsidP="008A5EB0">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Ostatní smlouvy a SESAE – rovnoprávné akty</w:t>
      </w:r>
    </w:p>
    <w:p w:rsidR="008A5EB0" w:rsidRDefault="008A5EB0" w:rsidP="008A5EB0">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LZP EU a Smlouvy – Smlouvy jsou speciální vůči LZP EU</w:t>
      </w:r>
    </w:p>
    <w:p w:rsidR="005F16C1" w:rsidRPr="0098443A" w:rsidRDefault="005F16C1" w:rsidP="0098443A">
      <w:pPr>
        <w:pStyle w:val="Nadpis2"/>
        <w:spacing w:before="0"/>
        <w:rPr>
          <w:rFonts w:eastAsia="Times New Roman"/>
          <w:lang w:eastAsia="cs-CZ"/>
        </w:rPr>
      </w:pPr>
      <w:bookmarkStart w:id="19" w:name="_Toc282320133"/>
      <w:r w:rsidRPr="0098443A">
        <w:rPr>
          <w:rFonts w:eastAsia="Times New Roman"/>
          <w:lang w:eastAsia="cs-CZ"/>
        </w:rPr>
        <w:t>b) sekundární prameny práva EU - nařízení, směrnice, rozhodnutí</w:t>
      </w:r>
      <w:bookmarkEnd w:id="19"/>
      <w:r w:rsidRPr="0098443A">
        <w:rPr>
          <w:rFonts w:eastAsia="Times New Roman"/>
          <w:lang w:eastAsia="cs-CZ"/>
        </w:rPr>
        <w:t xml:space="preserve"> </w:t>
      </w:r>
    </w:p>
    <w:p w:rsidR="0098443A" w:rsidRDefault="00E5534A" w:rsidP="0098443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Akty, které přijímají orgány EU na základě primárního práva</w:t>
      </w:r>
    </w:p>
    <w:p w:rsidR="0098443A" w:rsidRDefault="006B536F" w:rsidP="0098443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Právně závazné</w:t>
      </w:r>
    </w:p>
    <w:p w:rsidR="0098443A" w:rsidRDefault="006B536F" w:rsidP="0098443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Legislativní = nařízení, směrnice a rozhodnutí</w:t>
      </w:r>
    </w:p>
    <w:p w:rsidR="006B536F" w:rsidRDefault="006B536F" w:rsidP="0098443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Nelegislativní = doplňují nařízení a směrnice, jsou označeny buď „v přenesené působnosti“ </w:t>
      </w:r>
      <w:r w:rsidR="00295031">
        <w:rPr>
          <w:rFonts w:eastAsia="Times New Roman" w:cstheme="minorHAnsi"/>
          <w:sz w:val="20"/>
          <w:szCs w:val="20"/>
          <w:lang w:eastAsia="cs-CZ"/>
        </w:rPr>
        <w:t xml:space="preserve">(delegované) </w:t>
      </w:r>
      <w:r>
        <w:rPr>
          <w:rFonts w:eastAsia="Times New Roman" w:cstheme="minorHAnsi"/>
          <w:sz w:val="20"/>
          <w:szCs w:val="20"/>
          <w:lang w:eastAsia="cs-CZ"/>
        </w:rPr>
        <w:t>nebo „prováděcí“ + akty SZBP</w:t>
      </w:r>
    </w:p>
    <w:p w:rsidR="006B536F" w:rsidRDefault="006B536F" w:rsidP="006B536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Právně nezávazné – doporučení, stanoviska aj.</w:t>
      </w:r>
    </w:p>
    <w:p w:rsidR="006B536F" w:rsidRPr="006B536F" w:rsidRDefault="006B536F" w:rsidP="006B536F">
      <w:pPr>
        <w:pStyle w:val="Odstavecseseznamem"/>
        <w:numPr>
          <w:ilvl w:val="0"/>
          <w:numId w:val="9"/>
        </w:numPr>
        <w:spacing w:after="0" w:line="240" w:lineRule="auto"/>
        <w:rPr>
          <w:rFonts w:eastAsia="Times New Roman" w:cstheme="minorHAnsi"/>
          <w:b/>
          <w:sz w:val="20"/>
          <w:szCs w:val="20"/>
          <w:lang w:eastAsia="cs-CZ"/>
        </w:rPr>
      </w:pPr>
      <w:r w:rsidRPr="006B536F">
        <w:rPr>
          <w:rFonts w:eastAsia="Times New Roman" w:cstheme="minorHAnsi"/>
          <w:b/>
          <w:sz w:val="20"/>
          <w:szCs w:val="20"/>
          <w:lang w:eastAsia="cs-CZ"/>
        </w:rPr>
        <w:t>Nařízení</w:t>
      </w:r>
    </w:p>
    <w:p w:rsidR="006B536F" w:rsidRDefault="006B536F" w:rsidP="006B536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Obecná závaznost – upravuje konkrétní skutkové situace pro neurčitý počet adresátů</w:t>
      </w:r>
    </w:p>
    <w:p w:rsidR="006B536F" w:rsidRDefault="006B536F" w:rsidP="006B536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Závazné ve všech svých částech</w:t>
      </w:r>
    </w:p>
    <w:p w:rsidR="00295031" w:rsidRDefault="00295031" w:rsidP="006B536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Přímo použitelné v každém členském státě</w:t>
      </w:r>
    </w:p>
    <w:p w:rsidR="00295031" w:rsidRDefault="00295031" w:rsidP="00295031">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Automaticky zakládá práva a povinnosti ve vnitrostátním právním řádu</w:t>
      </w:r>
    </w:p>
    <w:p w:rsidR="00A2124D" w:rsidRDefault="00A2124D" w:rsidP="00295031">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Přímý účinek</w:t>
      </w:r>
    </w:p>
    <w:p w:rsidR="00A2124D" w:rsidRDefault="00A2124D" w:rsidP="00A2124D">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vertikální – jednotlivec se dovolává účinku vůči státu</w:t>
      </w:r>
    </w:p>
    <w:p w:rsidR="00A2124D" w:rsidRDefault="00A2124D" w:rsidP="00A2124D">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horizontální – jednotlivec se dovolává účinku vůči jednotlivci (zaměstnanec x zaměstnavatel)</w:t>
      </w:r>
    </w:p>
    <w:p w:rsidR="00295031" w:rsidRDefault="00295031" w:rsidP="00295031">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Využívá se v oblasti </w:t>
      </w:r>
      <w:r w:rsidRPr="00295031">
        <w:rPr>
          <w:rFonts w:eastAsia="Times New Roman" w:cstheme="minorHAnsi"/>
          <w:sz w:val="20"/>
          <w:szCs w:val="20"/>
          <w:u w:val="single"/>
          <w:lang w:eastAsia="cs-CZ"/>
        </w:rPr>
        <w:t>výlučné pravomoci EU</w:t>
      </w:r>
    </w:p>
    <w:p w:rsidR="00295031" w:rsidRDefault="00295031" w:rsidP="00295031">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Celní unie, hospodářská soutěž, měnová politiky pro Euro, zachování společných zdrojů v moři, společná obchodní politika, uzavření mezinárodní smlouvy</w:t>
      </w:r>
    </w:p>
    <w:p w:rsidR="00295031" w:rsidRDefault="00295031" w:rsidP="00295031">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Může mít různou právní sílu (viz legislativní x nelegislativní)</w:t>
      </w:r>
    </w:p>
    <w:p w:rsidR="005A32A4" w:rsidRDefault="005A32A4" w:rsidP="00295031">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Základní nařízení (vydává Rada EU) + prováděcí nařízení (vydává Komise)</w:t>
      </w:r>
    </w:p>
    <w:p w:rsidR="00295031" w:rsidRPr="00295031" w:rsidRDefault="00295031" w:rsidP="00295031">
      <w:pPr>
        <w:pStyle w:val="Odstavecseseznamem"/>
        <w:numPr>
          <w:ilvl w:val="0"/>
          <w:numId w:val="9"/>
        </w:numPr>
        <w:spacing w:after="0" w:line="240" w:lineRule="auto"/>
        <w:rPr>
          <w:rFonts w:eastAsia="Times New Roman" w:cstheme="minorHAnsi"/>
          <w:b/>
          <w:sz w:val="20"/>
          <w:szCs w:val="20"/>
          <w:lang w:eastAsia="cs-CZ"/>
        </w:rPr>
      </w:pPr>
      <w:r w:rsidRPr="00295031">
        <w:rPr>
          <w:rFonts w:eastAsia="Times New Roman" w:cstheme="minorHAnsi"/>
          <w:b/>
          <w:sz w:val="20"/>
          <w:szCs w:val="20"/>
          <w:lang w:eastAsia="cs-CZ"/>
        </w:rPr>
        <w:t>Směrnice</w:t>
      </w:r>
    </w:p>
    <w:p w:rsidR="00295031" w:rsidRDefault="00796D6A" w:rsidP="00295031">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Využívá se v oblasti </w:t>
      </w:r>
      <w:r w:rsidRPr="00796D6A">
        <w:rPr>
          <w:rFonts w:eastAsia="Times New Roman" w:cstheme="minorHAnsi"/>
          <w:sz w:val="20"/>
          <w:szCs w:val="20"/>
          <w:u w:val="single"/>
          <w:lang w:eastAsia="cs-CZ"/>
        </w:rPr>
        <w:t>nevýlučné pravomoci EU</w:t>
      </w:r>
    </w:p>
    <w:p w:rsidR="00796D6A" w:rsidRDefault="00796D6A" w:rsidP="00796D6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Vnitřní trh, sociální politika, hospodářská, sociální a územní soudržnost, zemědělství, rybolov, ochrana spotřebitele, doprava, transevropské sítě, energetika, svoboda, bezpečnost a právo, výzkum</w:t>
      </w:r>
    </w:p>
    <w:p w:rsidR="00796D6A" w:rsidRDefault="00796D6A" w:rsidP="00796D6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Adresáty jsou členské státy</w:t>
      </w:r>
      <w:r w:rsidR="004D7465">
        <w:rPr>
          <w:rFonts w:eastAsia="Times New Roman" w:cstheme="minorHAnsi"/>
          <w:sz w:val="20"/>
          <w:szCs w:val="20"/>
          <w:lang w:eastAsia="cs-CZ"/>
        </w:rPr>
        <w:t>, pro které je závazná</w:t>
      </w:r>
    </w:p>
    <w:p w:rsidR="004F70FB" w:rsidRDefault="004F70FB" w:rsidP="00796D6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Sama o sobě není určena k</w:t>
      </w:r>
      <w:r w:rsidR="001E6049">
        <w:rPr>
          <w:rFonts w:eastAsia="Times New Roman" w:cstheme="minorHAnsi"/>
          <w:sz w:val="20"/>
          <w:szCs w:val="20"/>
          <w:lang w:eastAsia="cs-CZ"/>
        </w:rPr>
        <w:t> </w:t>
      </w:r>
      <w:r>
        <w:rPr>
          <w:rFonts w:eastAsia="Times New Roman" w:cstheme="minorHAnsi"/>
          <w:sz w:val="20"/>
          <w:szCs w:val="20"/>
          <w:lang w:eastAsia="cs-CZ"/>
        </w:rPr>
        <w:t>přímé aplikaci</w:t>
      </w:r>
    </w:p>
    <w:p w:rsidR="004F70FB" w:rsidRDefault="004F70FB" w:rsidP="00796D6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Jejím účelem je ovlivnit obsah vnitrostátních právních předpisů členských států</w:t>
      </w:r>
    </w:p>
    <w:p w:rsidR="004F70FB" w:rsidRDefault="004F70FB" w:rsidP="00796D6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Na základě směrnice musí členský stát obsah směrnice přenést do vnitrostátního práva</w:t>
      </w:r>
    </w:p>
    <w:p w:rsidR="004F70FB" w:rsidRDefault="004F70FB" w:rsidP="004F70FB">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Transpozice</w:t>
      </w:r>
    </w:p>
    <w:p w:rsidR="004F70FB" w:rsidRDefault="004F70FB" w:rsidP="004F70FB">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Formální promítnutí obsahu směrnice do vnitrostátního právního předpisu</w:t>
      </w:r>
    </w:p>
    <w:p w:rsidR="004D7465" w:rsidRDefault="004D7465" w:rsidP="004F70FB">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Pokud je text směrnice dostatečně konkrétní, lze jej doslovně převzít</w:t>
      </w:r>
    </w:p>
    <w:p w:rsidR="004D7465" w:rsidRDefault="004D7465" w:rsidP="004D7465">
      <w:pPr>
        <w:pStyle w:val="Odstavecseseznamem"/>
        <w:numPr>
          <w:ilvl w:val="4"/>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Někdy směrnice povoluje odchylky</w:t>
      </w:r>
    </w:p>
    <w:p w:rsidR="004D7465" w:rsidRDefault="004D7465" w:rsidP="004F70FB">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Musí být provedená ve lhůtě, kterou směrnice stanoví v</w:t>
      </w:r>
      <w:r w:rsidR="001E6049">
        <w:rPr>
          <w:rFonts w:eastAsia="Times New Roman" w:cstheme="minorHAnsi"/>
          <w:sz w:val="20"/>
          <w:szCs w:val="20"/>
          <w:lang w:eastAsia="cs-CZ"/>
        </w:rPr>
        <w:t> </w:t>
      </w:r>
      <w:r>
        <w:rPr>
          <w:rFonts w:eastAsia="Times New Roman" w:cstheme="minorHAnsi"/>
          <w:sz w:val="20"/>
          <w:szCs w:val="20"/>
          <w:lang w:eastAsia="cs-CZ"/>
        </w:rPr>
        <w:t>závěrečných ustanoveních</w:t>
      </w:r>
    </w:p>
    <w:p w:rsidR="004D7465" w:rsidRDefault="001E6049" w:rsidP="004D7465">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Musí mít formu obecně závazného právního předpisu</w:t>
      </w:r>
    </w:p>
    <w:p w:rsidR="004F70FB" w:rsidRDefault="004F70FB" w:rsidP="004F70FB">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Implementace</w:t>
      </w:r>
    </w:p>
    <w:p w:rsidR="004F70FB" w:rsidRDefault="004F70FB" w:rsidP="004F70FB">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Skutečné dosažení výsledku požadovaného směrnicí z hlediska praktických účinků</w:t>
      </w:r>
    </w:p>
    <w:p w:rsidR="00585A42" w:rsidRDefault="00585A42" w:rsidP="004F70FB">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Tj. náležitá vnitrostátní aplikace transpozičního opatření</w:t>
      </w:r>
    </w:p>
    <w:p w:rsidR="004D7465" w:rsidRDefault="00585A42" w:rsidP="004F70FB">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její vynutitelnost, tedy vymahatelnost právy, která vyplývají z transpozičního opatření</w:t>
      </w:r>
    </w:p>
    <w:p w:rsidR="00585A42" w:rsidRDefault="00585A42" w:rsidP="00585A42">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nesplnění transpozice nebo implementace</w:t>
      </w:r>
    </w:p>
    <w:p w:rsidR="00585A42" w:rsidRDefault="00585A42" w:rsidP="00585A42">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zakládá odpovědnost členského státu za porušení práva EU jak vůči EU, tak vůči jednotlivcům</w:t>
      </w:r>
    </w:p>
    <w:p w:rsidR="00585A42" w:rsidRPr="00A2124D" w:rsidRDefault="00585A42" w:rsidP="00585A42">
      <w:pPr>
        <w:pStyle w:val="Odstavecseseznamem"/>
        <w:numPr>
          <w:ilvl w:val="3"/>
          <w:numId w:val="9"/>
        </w:numPr>
        <w:spacing w:after="0" w:line="240" w:lineRule="auto"/>
        <w:rPr>
          <w:rFonts w:eastAsia="Times New Roman" w:cstheme="minorHAnsi"/>
          <w:sz w:val="20"/>
          <w:szCs w:val="20"/>
          <w:u w:val="single"/>
          <w:lang w:eastAsia="cs-CZ"/>
        </w:rPr>
      </w:pPr>
      <w:r w:rsidRPr="00A2124D">
        <w:rPr>
          <w:rFonts w:eastAsia="Times New Roman" w:cstheme="minorHAnsi"/>
          <w:sz w:val="20"/>
          <w:szCs w:val="20"/>
          <w:u w:val="single"/>
          <w:lang w:eastAsia="cs-CZ"/>
        </w:rPr>
        <w:t>přímý účinek směrnice</w:t>
      </w:r>
    </w:p>
    <w:p w:rsidR="008D1287" w:rsidRDefault="008D1287" w:rsidP="008D1287">
      <w:pPr>
        <w:pStyle w:val="Odstavecseseznamem"/>
        <w:numPr>
          <w:ilvl w:val="4"/>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lastRenderedPageBreak/>
        <w:t>po marném uplynutí lhůty pro implementaci</w:t>
      </w:r>
      <w:r>
        <w:rPr>
          <w:rStyle w:val="Znakapoznpodarou"/>
          <w:rFonts w:eastAsia="Times New Roman" w:cstheme="minorHAnsi"/>
          <w:sz w:val="20"/>
          <w:szCs w:val="20"/>
          <w:lang w:eastAsia="cs-CZ"/>
        </w:rPr>
        <w:footnoteReference w:id="3"/>
      </w:r>
    </w:p>
    <w:p w:rsidR="00A2124D" w:rsidRDefault="00A2124D" w:rsidP="008D1287">
      <w:pPr>
        <w:pStyle w:val="Odstavecseseznamem"/>
        <w:numPr>
          <w:ilvl w:val="4"/>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vertikální – jednotlivec se dovolává účinku vůči státu</w:t>
      </w:r>
    </w:p>
    <w:p w:rsidR="00585A42" w:rsidRPr="005A32A4" w:rsidRDefault="00585A42" w:rsidP="00585A42">
      <w:pPr>
        <w:pStyle w:val="Odstavecseseznamem"/>
        <w:numPr>
          <w:ilvl w:val="3"/>
          <w:numId w:val="9"/>
        </w:numPr>
        <w:spacing w:after="0" w:line="240" w:lineRule="auto"/>
        <w:rPr>
          <w:rFonts w:eastAsia="Times New Roman" w:cstheme="minorHAnsi"/>
          <w:sz w:val="20"/>
          <w:szCs w:val="20"/>
          <w:u w:val="single"/>
          <w:lang w:eastAsia="cs-CZ"/>
        </w:rPr>
      </w:pPr>
      <w:r w:rsidRPr="005A32A4">
        <w:rPr>
          <w:rFonts w:eastAsia="Times New Roman" w:cstheme="minorHAnsi"/>
          <w:sz w:val="20"/>
          <w:szCs w:val="20"/>
          <w:u w:val="single"/>
          <w:lang w:eastAsia="cs-CZ"/>
        </w:rPr>
        <w:t>nepřímý účinek směrnice</w:t>
      </w:r>
    </w:p>
    <w:p w:rsidR="00A2124D" w:rsidRDefault="00A2124D" w:rsidP="00A2124D">
      <w:pPr>
        <w:pStyle w:val="Odstavecseseznamem"/>
        <w:numPr>
          <w:ilvl w:val="4"/>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není zakotven v právním předpisu práva EU, ale vychází z judikatury ESD</w:t>
      </w:r>
    </w:p>
    <w:p w:rsidR="00A2124D" w:rsidRDefault="00A2124D" w:rsidP="00A2124D">
      <w:pPr>
        <w:pStyle w:val="Odstavecseseznamem"/>
        <w:numPr>
          <w:ilvl w:val="4"/>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výklad vnitrostátních předpisů v souladu s právem EU</w:t>
      </w:r>
    </w:p>
    <w:p w:rsidR="00A2124D" w:rsidRPr="00A2124D" w:rsidRDefault="00A2124D" w:rsidP="00A2124D">
      <w:pPr>
        <w:pStyle w:val="Odstavecseseznamem"/>
        <w:numPr>
          <w:ilvl w:val="0"/>
          <w:numId w:val="9"/>
        </w:numPr>
        <w:spacing w:after="0" w:line="240" w:lineRule="auto"/>
        <w:rPr>
          <w:rFonts w:eastAsia="Times New Roman" w:cstheme="minorHAnsi"/>
          <w:b/>
          <w:sz w:val="20"/>
          <w:szCs w:val="20"/>
          <w:lang w:eastAsia="cs-CZ"/>
        </w:rPr>
      </w:pPr>
      <w:r w:rsidRPr="00A2124D">
        <w:rPr>
          <w:rFonts w:eastAsia="Times New Roman" w:cstheme="minorHAnsi"/>
          <w:b/>
          <w:sz w:val="20"/>
          <w:szCs w:val="20"/>
          <w:lang w:eastAsia="cs-CZ"/>
        </w:rPr>
        <w:t>Rozhodnutí</w:t>
      </w:r>
    </w:p>
    <w:p w:rsidR="00A2124D" w:rsidRDefault="00E76224" w:rsidP="00A2124D">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Závazné v celém svém rozsahu</w:t>
      </w:r>
    </w:p>
    <w:p w:rsidR="006C4973" w:rsidRDefault="006C4973" w:rsidP="006C497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Má obecnou působnost</w:t>
      </w:r>
    </w:p>
    <w:p w:rsidR="00E76224" w:rsidRDefault="00E76224" w:rsidP="00A2124D">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Zpravidla má adresáty, od LS je mít nemusí</w:t>
      </w:r>
    </w:p>
    <w:p w:rsidR="006C4973" w:rsidRDefault="006C4973" w:rsidP="006C4973">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Je-li adresátem stát, musí přijmout potřebná prováděcí opatření</w:t>
      </w:r>
    </w:p>
    <w:p w:rsidR="006C4973" w:rsidRDefault="006C4973" w:rsidP="006C497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Má přímý účinek a s ním spojenou vykonatelnost</w:t>
      </w:r>
    </w:p>
    <w:p w:rsidR="006C4973" w:rsidRDefault="006C4973" w:rsidP="006C497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Významný typ rozhodnutí = Rozhodnutí SD EU (ESD)</w:t>
      </w:r>
    </w:p>
    <w:p w:rsidR="006C4973" w:rsidRPr="006C4973" w:rsidRDefault="006C4973" w:rsidP="006C4973">
      <w:pPr>
        <w:pStyle w:val="Odstavecseseznamem"/>
        <w:numPr>
          <w:ilvl w:val="0"/>
          <w:numId w:val="9"/>
        </w:numPr>
        <w:spacing w:after="0" w:line="240" w:lineRule="auto"/>
        <w:rPr>
          <w:rFonts w:eastAsia="Times New Roman" w:cstheme="minorHAnsi"/>
          <w:b/>
          <w:sz w:val="20"/>
          <w:szCs w:val="20"/>
          <w:lang w:eastAsia="cs-CZ"/>
        </w:rPr>
      </w:pPr>
      <w:r w:rsidRPr="006C4973">
        <w:rPr>
          <w:rFonts w:eastAsia="Times New Roman" w:cstheme="minorHAnsi"/>
          <w:b/>
          <w:sz w:val="20"/>
          <w:szCs w:val="20"/>
          <w:lang w:eastAsia="cs-CZ"/>
        </w:rPr>
        <w:t>Akty sui generis</w:t>
      </w:r>
    </w:p>
    <w:p w:rsidR="006C4973" w:rsidRDefault="006C4973" w:rsidP="006C497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SD EU přezkoumává soulad s primárním právem</w:t>
      </w:r>
    </w:p>
    <w:p w:rsidR="006C4973" w:rsidRDefault="006C4973" w:rsidP="006C4973">
      <w:pPr>
        <w:pStyle w:val="Odstavecseseznamem"/>
        <w:numPr>
          <w:ilvl w:val="0"/>
          <w:numId w:val="9"/>
        </w:numPr>
        <w:spacing w:after="0" w:line="240" w:lineRule="auto"/>
        <w:rPr>
          <w:rFonts w:eastAsia="Times New Roman" w:cstheme="minorHAnsi"/>
          <w:sz w:val="20"/>
          <w:szCs w:val="20"/>
          <w:lang w:eastAsia="cs-CZ"/>
        </w:rPr>
      </w:pPr>
      <w:r w:rsidRPr="006C4973">
        <w:rPr>
          <w:rFonts w:eastAsia="Times New Roman" w:cstheme="minorHAnsi"/>
          <w:b/>
          <w:sz w:val="20"/>
          <w:szCs w:val="20"/>
          <w:lang w:eastAsia="cs-CZ"/>
        </w:rPr>
        <w:t>Meziorgánové dohody</w:t>
      </w:r>
      <w:r>
        <w:rPr>
          <w:rFonts w:eastAsia="Times New Roman" w:cstheme="minorHAnsi"/>
          <w:sz w:val="20"/>
          <w:szCs w:val="20"/>
          <w:lang w:eastAsia="cs-CZ"/>
        </w:rPr>
        <w:t xml:space="preserve"> – např. rozpočtová oblast</w:t>
      </w:r>
    </w:p>
    <w:p w:rsidR="006C4973" w:rsidRPr="006C4973" w:rsidRDefault="006C4973" w:rsidP="006C4973">
      <w:pPr>
        <w:pStyle w:val="Odstavecseseznamem"/>
        <w:numPr>
          <w:ilvl w:val="0"/>
          <w:numId w:val="9"/>
        </w:numPr>
        <w:spacing w:after="0" w:line="240" w:lineRule="auto"/>
        <w:rPr>
          <w:rFonts w:eastAsia="Times New Roman" w:cstheme="minorHAnsi"/>
          <w:b/>
          <w:sz w:val="20"/>
          <w:szCs w:val="20"/>
          <w:lang w:eastAsia="cs-CZ"/>
        </w:rPr>
      </w:pPr>
      <w:r w:rsidRPr="006C4973">
        <w:rPr>
          <w:rFonts w:eastAsia="Times New Roman" w:cstheme="minorHAnsi"/>
          <w:b/>
          <w:sz w:val="20"/>
          <w:szCs w:val="20"/>
          <w:lang w:eastAsia="cs-CZ"/>
        </w:rPr>
        <w:t>Nezávazné právní akty</w:t>
      </w:r>
    </w:p>
    <w:p w:rsidR="006C4973" w:rsidRDefault="006C4973" w:rsidP="006C497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Doporučení, stanoviska, sdělení Komise, vysvětlení</w:t>
      </w:r>
    </w:p>
    <w:p w:rsidR="0098443A" w:rsidRDefault="0098443A" w:rsidP="009C50F4">
      <w:pPr>
        <w:spacing w:after="0" w:line="240" w:lineRule="auto"/>
        <w:rPr>
          <w:rFonts w:eastAsia="Times New Roman" w:cstheme="minorHAnsi"/>
          <w:sz w:val="20"/>
          <w:szCs w:val="20"/>
          <w:lang w:eastAsia="cs-CZ"/>
        </w:rPr>
      </w:pPr>
    </w:p>
    <w:p w:rsidR="005F16C1" w:rsidRPr="0098443A" w:rsidRDefault="005F16C1" w:rsidP="0098443A">
      <w:pPr>
        <w:pStyle w:val="Nadpis2"/>
        <w:spacing w:before="0"/>
        <w:rPr>
          <w:rFonts w:eastAsia="Times New Roman"/>
          <w:lang w:eastAsia="cs-CZ"/>
        </w:rPr>
      </w:pPr>
      <w:bookmarkStart w:id="20" w:name="_Toc282320134"/>
      <w:r w:rsidRPr="0098443A">
        <w:rPr>
          <w:rFonts w:eastAsia="Times New Roman"/>
          <w:lang w:eastAsia="cs-CZ"/>
        </w:rPr>
        <w:t>c) rozsudky ESD</w:t>
      </w:r>
      <w:bookmarkEnd w:id="20"/>
      <w:r w:rsidRPr="0098443A">
        <w:rPr>
          <w:rFonts w:eastAsia="Times New Roman"/>
          <w:lang w:eastAsia="cs-CZ"/>
        </w:rPr>
        <w:t xml:space="preserve"> </w:t>
      </w:r>
    </w:p>
    <w:p w:rsidR="0098443A" w:rsidRDefault="006F0779" w:rsidP="0098443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Pramenem jsou zejména ta rozhodnutí,</w:t>
      </w:r>
      <w:r w:rsidR="00D4425E">
        <w:rPr>
          <w:rFonts w:eastAsia="Times New Roman" w:cstheme="minorHAnsi"/>
          <w:sz w:val="20"/>
          <w:szCs w:val="20"/>
          <w:lang w:eastAsia="cs-CZ"/>
        </w:rPr>
        <w:t xml:space="preserve"> </w:t>
      </w:r>
      <w:r>
        <w:rPr>
          <w:rFonts w:eastAsia="Times New Roman" w:cstheme="minorHAnsi"/>
          <w:sz w:val="20"/>
          <w:szCs w:val="20"/>
          <w:lang w:eastAsia="cs-CZ"/>
        </w:rPr>
        <w:t>která vyplňují mezery v právu EU</w:t>
      </w:r>
    </w:p>
    <w:p w:rsidR="0098443A" w:rsidRDefault="00D4425E" w:rsidP="0098443A">
      <w:pPr>
        <w:pStyle w:val="Odstavecseseznamem"/>
        <w:numPr>
          <w:ilvl w:val="1"/>
          <w:numId w:val="9"/>
        </w:numPr>
        <w:spacing w:after="0" w:line="240" w:lineRule="auto"/>
        <w:rPr>
          <w:rFonts w:eastAsia="Times New Roman" w:cstheme="minorHAnsi"/>
          <w:sz w:val="20"/>
          <w:szCs w:val="20"/>
          <w:lang w:eastAsia="cs-CZ"/>
        </w:rPr>
      </w:pPr>
      <w:r w:rsidRPr="0011518E">
        <w:rPr>
          <w:rFonts w:eastAsia="Times New Roman" w:cstheme="minorHAnsi"/>
          <w:b/>
          <w:sz w:val="20"/>
          <w:szCs w:val="20"/>
          <w:lang w:eastAsia="cs-CZ"/>
        </w:rPr>
        <w:t>Rozsudek Costa x E.N.E.L.</w:t>
      </w:r>
      <w:r>
        <w:rPr>
          <w:rFonts w:eastAsia="Times New Roman" w:cstheme="minorHAnsi"/>
          <w:sz w:val="20"/>
          <w:szCs w:val="20"/>
          <w:lang w:eastAsia="cs-CZ"/>
        </w:rPr>
        <w:t xml:space="preserve"> (viz ot. 6)</w:t>
      </w:r>
    </w:p>
    <w:p w:rsidR="0098443A" w:rsidRDefault="00D4425E" w:rsidP="0098443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Aplikační přednost komunitárního práva před národním právem</w:t>
      </w:r>
    </w:p>
    <w:p w:rsidR="00D4425E" w:rsidRPr="0011518E" w:rsidRDefault="00D4425E" w:rsidP="00D4425E">
      <w:pPr>
        <w:pStyle w:val="Odstavecseseznamem"/>
        <w:numPr>
          <w:ilvl w:val="1"/>
          <w:numId w:val="9"/>
        </w:numPr>
        <w:spacing w:after="0" w:line="240" w:lineRule="auto"/>
        <w:rPr>
          <w:rFonts w:eastAsia="Times New Roman" w:cstheme="minorHAnsi"/>
          <w:b/>
          <w:sz w:val="20"/>
          <w:szCs w:val="20"/>
          <w:lang w:eastAsia="cs-CZ"/>
        </w:rPr>
      </w:pPr>
      <w:r w:rsidRPr="0011518E">
        <w:rPr>
          <w:rFonts w:eastAsia="Times New Roman" w:cstheme="minorHAnsi"/>
          <w:b/>
          <w:sz w:val="20"/>
          <w:szCs w:val="20"/>
          <w:lang w:eastAsia="cs-CZ"/>
        </w:rPr>
        <w:t>Rozsudek Van Gend en Loos</w:t>
      </w:r>
    </w:p>
    <w:p w:rsidR="00D4425E" w:rsidRDefault="00D4425E" w:rsidP="00D4425E">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Stanovení bezprostřední</w:t>
      </w:r>
      <w:r w:rsidR="00244DE1">
        <w:rPr>
          <w:rFonts w:eastAsia="Times New Roman" w:cstheme="minorHAnsi"/>
          <w:sz w:val="20"/>
          <w:szCs w:val="20"/>
          <w:lang w:eastAsia="cs-CZ"/>
        </w:rPr>
        <w:t xml:space="preserve"> použitelnosti a bezprostředního účinku primárního práva</w:t>
      </w:r>
    </w:p>
    <w:p w:rsidR="00244DE1" w:rsidRDefault="00244DE1" w:rsidP="00244DE1">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Podmínkou je ale jasnost a bezpodmínečnost ustanovení</w:t>
      </w:r>
    </w:p>
    <w:p w:rsidR="00244DE1" w:rsidRDefault="00244DE1" w:rsidP="00244DE1">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Podstatou sporu bylo nepřiměřené zvýšení cla nizozemskou vládou, které znevýhodňovalo dovoz zboží (formaldehydu) do země – mikroekonomická konkurence mezi státy</w:t>
      </w:r>
    </w:p>
    <w:p w:rsidR="00244DE1" w:rsidRPr="0011518E" w:rsidRDefault="00244DE1" w:rsidP="00244DE1">
      <w:pPr>
        <w:pStyle w:val="Odstavecseseznamem"/>
        <w:numPr>
          <w:ilvl w:val="1"/>
          <w:numId w:val="9"/>
        </w:numPr>
        <w:spacing w:after="0" w:line="240" w:lineRule="auto"/>
        <w:rPr>
          <w:rFonts w:eastAsia="Times New Roman" w:cstheme="minorHAnsi"/>
          <w:b/>
          <w:sz w:val="20"/>
          <w:szCs w:val="20"/>
          <w:lang w:eastAsia="cs-CZ"/>
        </w:rPr>
      </w:pPr>
      <w:r w:rsidRPr="0011518E">
        <w:rPr>
          <w:rFonts w:eastAsia="Times New Roman" w:cstheme="minorHAnsi"/>
          <w:b/>
          <w:sz w:val="20"/>
          <w:szCs w:val="20"/>
          <w:lang w:eastAsia="cs-CZ"/>
        </w:rPr>
        <w:t>Rozsudek Francovich</w:t>
      </w:r>
    </w:p>
    <w:p w:rsidR="00244DE1" w:rsidRDefault="003A4014" w:rsidP="00244DE1">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Založil odpovědnost členského státu za náhradu škody způsobené neimplementací směrnice vůči poškozenému jedinci</w:t>
      </w:r>
    </w:p>
    <w:p w:rsidR="002A3A7F" w:rsidRDefault="002A3A7F" w:rsidP="002A3A7F">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Itálie neimplementovala směrnici, chránící zaměstnance před insolventností zaměstnavatele</w:t>
      </w:r>
    </w:p>
    <w:p w:rsidR="002A3A7F" w:rsidRDefault="002A3A7F" w:rsidP="002A3A7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Náhrada škody se však řídí národním právem</w:t>
      </w:r>
    </w:p>
    <w:p w:rsidR="002A3A7F" w:rsidRDefault="002A3A7F" w:rsidP="002A3A7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Diskutuje se, zdali byl tento rozsudek pravomocný, poněvadž překračuje rámec interpretace práva EU</w:t>
      </w:r>
    </w:p>
    <w:p w:rsidR="002A3A7F" w:rsidRPr="0011518E" w:rsidRDefault="00D0776D" w:rsidP="002A3A7F">
      <w:pPr>
        <w:pStyle w:val="Odstavecseseznamem"/>
        <w:numPr>
          <w:ilvl w:val="1"/>
          <w:numId w:val="9"/>
        </w:numPr>
        <w:spacing w:after="0" w:line="240" w:lineRule="auto"/>
        <w:rPr>
          <w:rFonts w:eastAsia="Times New Roman" w:cstheme="minorHAnsi"/>
          <w:b/>
          <w:sz w:val="20"/>
          <w:szCs w:val="20"/>
          <w:lang w:eastAsia="cs-CZ"/>
        </w:rPr>
      </w:pPr>
      <w:r w:rsidRPr="0011518E">
        <w:rPr>
          <w:rFonts w:eastAsia="Times New Roman" w:cstheme="minorHAnsi"/>
          <w:b/>
          <w:sz w:val="20"/>
          <w:szCs w:val="20"/>
          <w:lang w:eastAsia="cs-CZ"/>
        </w:rPr>
        <w:t>Rozsudek Dassonville</w:t>
      </w:r>
    </w:p>
    <w:p w:rsidR="00D0776D" w:rsidRDefault="00D0776D" w:rsidP="00D0776D">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 opatření s rovnocenným kvantitativním omezením je považováno každé obchodní pravidlo členského státu, které je způsobilé bránit obchodu uvnitř společenství</w:t>
      </w:r>
      <w:r w:rsidR="000C796B">
        <w:rPr>
          <w:rStyle w:val="Znakapoznpodarou"/>
          <w:rFonts w:eastAsia="Times New Roman" w:cstheme="minorHAnsi"/>
          <w:sz w:val="20"/>
          <w:szCs w:val="20"/>
          <w:lang w:eastAsia="cs-CZ"/>
        </w:rPr>
        <w:footnoteReference w:id="4"/>
      </w:r>
    </w:p>
    <w:p w:rsidR="00D0776D" w:rsidRPr="0011518E" w:rsidRDefault="00D0776D" w:rsidP="00D0776D">
      <w:pPr>
        <w:pStyle w:val="Odstavecseseznamem"/>
        <w:numPr>
          <w:ilvl w:val="1"/>
          <w:numId w:val="9"/>
        </w:numPr>
        <w:spacing w:after="0" w:line="240" w:lineRule="auto"/>
        <w:rPr>
          <w:rFonts w:eastAsia="Times New Roman" w:cstheme="minorHAnsi"/>
          <w:b/>
          <w:sz w:val="20"/>
          <w:szCs w:val="20"/>
          <w:lang w:eastAsia="cs-CZ"/>
        </w:rPr>
      </w:pPr>
      <w:r w:rsidRPr="0011518E">
        <w:rPr>
          <w:rFonts w:eastAsia="Times New Roman" w:cstheme="minorHAnsi"/>
          <w:b/>
          <w:sz w:val="20"/>
          <w:szCs w:val="20"/>
          <w:lang w:eastAsia="cs-CZ"/>
        </w:rPr>
        <w:t>Rozsudek Cassis de Dijon</w:t>
      </w:r>
    </w:p>
    <w:p w:rsidR="00D0776D" w:rsidRDefault="00D0776D" w:rsidP="00D0776D">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Zmírnění dassonvillské definici – omezení dovozu je do určité míry akceptovatelné (ochrana zdraví)</w:t>
      </w:r>
    </w:p>
    <w:p w:rsidR="00D0776D" w:rsidRDefault="00D0776D" w:rsidP="00D0776D">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Zboží, které splňuje legální poža</w:t>
      </w:r>
      <w:r w:rsidR="009F704E">
        <w:rPr>
          <w:rFonts w:eastAsia="Times New Roman" w:cstheme="minorHAnsi"/>
          <w:sz w:val="20"/>
          <w:szCs w:val="20"/>
          <w:lang w:eastAsia="cs-CZ"/>
        </w:rPr>
        <w:t>davky pro uvedení na trh v jednom státě, musí být připuštěno i na trh jiného členského státu</w:t>
      </w:r>
    </w:p>
    <w:p w:rsidR="005F16C1" w:rsidRPr="0098443A" w:rsidRDefault="005F16C1" w:rsidP="0098443A">
      <w:pPr>
        <w:pStyle w:val="Nadpis2"/>
        <w:spacing w:before="0"/>
        <w:rPr>
          <w:rFonts w:eastAsia="Times New Roman"/>
          <w:lang w:eastAsia="cs-CZ"/>
        </w:rPr>
      </w:pPr>
      <w:bookmarkStart w:id="21" w:name="_Toc282320135"/>
      <w:r w:rsidRPr="0098443A">
        <w:rPr>
          <w:rFonts w:eastAsia="Times New Roman"/>
          <w:lang w:eastAsia="cs-CZ"/>
        </w:rPr>
        <w:t>d) obecné právní zásady</w:t>
      </w:r>
      <w:bookmarkEnd w:id="21"/>
      <w:r w:rsidRPr="0098443A">
        <w:rPr>
          <w:rFonts w:eastAsia="Times New Roman"/>
          <w:lang w:eastAsia="cs-CZ"/>
        </w:rPr>
        <w:t xml:space="preserve"> </w:t>
      </w:r>
    </w:p>
    <w:p w:rsidR="0098443A" w:rsidRDefault="005F1BC5" w:rsidP="0098443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Nepsané prameny práva – právní obyčeje, právní principy, obecné právní zásady</w:t>
      </w:r>
    </w:p>
    <w:p w:rsidR="0098443A" w:rsidRDefault="00B40E6D" w:rsidP="005F1BC5">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Vyšší míra obecnosti než právní normy</w:t>
      </w:r>
    </w:p>
    <w:p w:rsidR="00B40E6D" w:rsidRDefault="00B40E6D" w:rsidP="005F1BC5">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Mají vyšší hierarchické postavení než sekundární právo</w:t>
      </w:r>
    </w:p>
    <w:p w:rsidR="0098443A" w:rsidRDefault="00B40E6D" w:rsidP="00B40E6D">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Zásady společné právním řádům</w:t>
      </w:r>
    </w:p>
    <w:p w:rsidR="00B40E6D" w:rsidRDefault="00B40E6D" w:rsidP="00B40E6D">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Nullum crimen, nulla poena sine lege, ne bis in idem, </w:t>
      </w:r>
      <w:r w:rsidR="008E6C64">
        <w:rPr>
          <w:rFonts w:eastAsia="Times New Roman" w:cstheme="minorHAnsi"/>
          <w:sz w:val="20"/>
          <w:szCs w:val="20"/>
          <w:lang w:eastAsia="cs-CZ"/>
        </w:rPr>
        <w:t xml:space="preserve">bona fides, </w:t>
      </w:r>
      <w:r>
        <w:rPr>
          <w:rFonts w:eastAsia="Times New Roman" w:cstheme="minorHAnsi"/>
          <w:sz w:val="20"/>
          <w:szCs w:val="20"/>
          <w:lang w:eastAsia="cs-CZ"/>
        </w:rPr>
        <w:t>zásada hierarchie norem (primární před sekundárním, obecná norma před speciální)</w:t>
      </w:r>
    </w:p>
    <w:p w:rsidR="008E6C64" w:rsidRDefault="008E6C64" w:rsidP="00B40E6D">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Zásady odvozené z povahy práva EU jakožto společenství práva</w:t>
      </w:r>
    </w:p>
    <w:p w:rsidR="00B40E6D" w:rsidRDefault="00B40E6D" w:rsidP="008E6C64">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 </w:t>
      </w:r>
      <w:r w:rsidR="008E6C64">
        <w:rPr>
          <w:rFonts w:eastAsia="Times New Roman" w:cstheme="minorHAnsi"/>
          <w:sz w:val="20"/>
          <w:szCs w:val="20"/>
          <w:lang w:eastAsia="cs-CZ"/>
        </w:rPr>
        <w:t>Právní jistota, zákaz retroaktivity, legitimní očekávání, řádná správa, proporcionalita, publicita</w:t>
      </w:r>
    </w:p>
    <w:p w:rsidR="005F16C1" w:rsidRPr="0098443A" w:rsidRDefault="005F16C1" w:rsidP="0098443A">
      <w:pPr>
        <w:pStyle w:val="Nadpis2"/>
        <w:spacing w:before="0"/>
        <w:rPr>
          <w:rFonts w:eastAsia="Times New Roman"/>
          <w:lang w:eastAsia="cs-CZ"/>
        </w:rPr>
      </w:pPr>
      <w:bookmarkStart w:id="22" w:name="_Toc282320136"/>
      <w:r w:rsidRPr="0098443A">
        <w:rPr>
          <w:rFonts w:eastAsia="Times New Roman"/>
          <w:lang w:eastAsia="cs-CZ"/>
        </w:rPr>
        <w:t>e) mezinárodní smlouvy, jejichž smluvní stranou je EU</w:t>
      </w:r>
      <w:bookmarkEnd w:id="22"/>
      <w:r w:rsidRPr="0098443A">
        <w:rPr>
          <w:rFonts w:eastAsia="Times New Roman"/>
          <w:lang w:eastAsia="cs-CZ"/>
        </w:rPr>
        <w:t xml:space="preserve"> </w:t>
      </w:r>
    </w:p>
    <w:p w:rsidR="0098443A" w:rsidRDefault="008E6C64" w:rsidP="0098443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MS mezi EU a třetími státy (mezinárodními organizacemi)</w:t>
      </w:r>
    </w:p>
    <w:p w:rsidR="008E6C64" w:rsidRDefault="008E6C64" w:rsidP="0098443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Hierarchicky stojí mezi primárním a sekundárním právem</w:t>
      </w:r>
    </w:p>
    <w:p w:rsidR="0098443A" w:rsidRDefault="00E5534A" w:rsidP="0098443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Vnější smlouvy jsou závazné pro orgány EU</w:t>
      </w:r>
    </w:p>
    <w:p w:rsidR="0098443A" w:rsidRDefault="00E5534A" w:rsidP="0098443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Výklad v souladu s vnějšími smlouvami</w:t>
      </w:r>
    </w:p>
    <w:p w:rsidR="00E5534A" w:rsidRDefault="00E5534A" w:rsidP="00E5534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lastRenderedPageBreak/>
        <w:t>Zavazují členské státy</w:t>
      </w:r>
    </w:p>
    <w:p w:rsidR="00E5534A" w:rsidRDefault="00E5534A" w:rsidP="00E5534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Aby mohly být uzavřeny, musí</w:t>
      </w:r>
    </w:p>
    <w:p w:rsidR="00E5534A" w:rsidRPr="002A3CCC" w:rsidRDefault="00E5534A" w:rsidP="00E5534A">
      <w:pPr>
        <w:pStyle w:val="Odstavecseseznamem"/>
        <w:numPr>
          <w:ilvl w:val="1"/>
          <w:numId w:val="9"/>
        </w:numPr>
        <w:spacing w:after="0" w:line="240" w:lineRule="auto"/>
        <w:rPr>
          <w:rFonts w:eastAsia="Times New Roman" w:cstheme="minorHAnsi"/>
          <w:sz w:val="20"/>
          <w:szCs w:val="20"/>
          <w:lang w:eastAsia="cs-CZ"/>
        </w:rPr>
      </w:pPr>
      <w:r w:rsidRPr="002A3CCC">
        <w:rPr>
          <w:rFonts w:eastAsia="Times New Roman" w:cstheme="minorHAnsi"/>
          <w:sz w:val="20"/>
          <w:szCs w:val="20"/>
          <w:lang w:eastAsia="cs-CZ"/>
        </w:rPr>
        <w:t>Předvídat primární právo</w:t>
      </w:r>
      <w:r w:rsidR="002A3CCC" w:rsidRPr="002A3CCC">
        <w:rPr>
          <w:rFonts w:eastAsia="Times New Roman" w:cstheme="minorHAnsi"/>
          <w:sz w:val="20"/>
          <w:szCs w:val="20"/>
          <w:lang w:eastAsia="cs-CZ"/>
        </w:rPr>
        <w:t xml:space="preserve"> + </w:t>
      </w:r>
      <w:r w:rsidRPr="002A3CCC">
        <w:rPr>
          <w:rFonts w:eastAsia="Times New Roman" w:cstheme="minorHAnsi"/>
          <w:sz w:val="20"/>
          <w:szCs w:val="20"/>
          <w:lang w:eastAsia="cs-CZ"/>
        </w:rPr>
        <w:t>Být nezbytné k dosažení cílů Smluv</w:t>
      </w:r>
    </w:p>
    <w:p w:rsidR="005F16C1" w:rsidRPr="00BB5DEE" w:rsidRDefault="005F16C1" w:rsidP="00BB5DEE">
      <w:pPr>
        <w:pStyle w:val="Nadpis1"/>
        <w:rPr>
          <w:rFonts w:eastAsia="Times New Roman"/>
          <w:lang w:eastAsia="cs-CZ"/>
        </w:rPr>
      </w:pPr>
      <w:bookmarkStart w:id="23" w:name="_Toc282320137"/>
      <w:r w:rsidRPr="00BB5DEE">
        <w:rPr>
          <w:rFonts w:eastAsia="Times New Roman"/>
          <w:lang w:eastAsia="cs-CZ"/>
        </w:rPr>
        <w:t>5. Přímá aplikovatelnost pravidel práva EU</w:t>
      </w:r>
      <w:bookmarkEnd w:id="23"/>
      <w:r w:rsidRPr="00BB5DEE">
        <w:rPr>
          <w:rFonts w:eastAsia="Times New Roman"/>
          <w:lang w:eastAsia="cs-CZ"/>
        </w:rPr>
        <w:t xml:space="preserve"> </w:t>
      </w:r>
    </w:p>
    <w:p w:rsidR="00AD41E1" w:rsidRDefault="00AD41E1" w:rsidP="00AD41E1">
      <w:pPr>
        <w:pStyle w:val="Odstavecseseznamem"/>
        <w:numPr>
          <w:ilvl w:val="0"/>
          <w:numId w:val="9"/>
        </w:numPr>
        <w:spacing w:after="0" w:line="240" w:lineRule="auto"/>
        <w:rPr>
          <w:rFonts w:eastAsia="Times New Roman" w:cstheme="minorHAnsi"/>
          <w:sz w:val="20"/>
          <w:szCs w:val="20"/>
          <w:lang w:eastAsia="cs-CZ"/>
        </w:rPr>
      </w:pPr>
      <w:bookmarkStart w:id="24" w:name="_Toc282320138"/>
      <w:r>
        <w:rPr>
          <w:rFonts w:eastAsia="Times New Roman" w:cstheme="minorHAnsi"/>
          <w:sz w:val="20"/>
          <w:szCs w:val="20"/>
          <w:lang w:eastAsia="cs-CZ"/>
        </w:rPr>
        <w:t>Zásada přímého účinku práva EU v členských státech je vedle zásady přednosti jedním ze dvou principů, jimiž se řídí postavení komunitárního práva v členských státech.</w:t>
      </w:r>
    </w:p>
    <w:p w:rsidR="00AD41E1" w:rsidRPr="00FF0BC0" w:rsidRDefault="00AD41E1" w:rsidP="0081259E">
      <w:pPr>
        <w:pStyle w:val="Odstavecseseznamem"/>
        <w:numPr>
          <w:ilvl w:val="0"/>
          <w:numId w:val="9"/>
        </w:numPr>
        <w:spacing w:after="0" w:line="240" w:lineRule="auto"/>
        <w:rPr>
          <w:rFonts w:eastAsia="Times New Roman" w:cstheme="minorHAnsi"/>
          <w:b/>
          <w:sz w:val="20"/>
          <w:szCs w:val="20"/>
          <w:lang w:eastAsia="cs-CZ"/>
        </w:rPr>
      </w:pPr>
      <w:r w:rsidRPr="00FF0BC0">
        <w:rPr>
          <w:rFonts w:eastAsia="Times New Roman" w:cstheme="minorHAnsi"/>
          <w:b/>
          <w:sz w:val="20"/>
          <w:szCs w:val="20"/>
          <w:lang w:eastAsia="cs-CZ"/>
        </w:rPr>
        <w:t>Přímý účinek</w:t>
      </w:r>
    </w:p>
    <w:p w:rsidR="00AD41E1" w:rsidRDefault="00AD41E1" w:rsidP="0081259E">
      <w:pPr>
        <w:pStyle w:val="Odstavecseseznamem"/>
        <w:numPr>
          <w:ilvl w:val="1"/>
          <w:numId w:val="9"/>
        </w:numPr>
        <w:spacing w:after="0" w:line="240" w:lineRule="auto"/>
        <w:rPr>
          <w:rFonts w:eastAsia="Times New Roman" w:cstheme="minorHAnsi"/>
          <w:sz w:val="20"/>
          <w:szCs w:val="20"/>
          <w:lang w:eastAsia="cs-CZ"/>
        </w:rPr>
      </w:pPr>
      <w:r w:rsidRPr="005A32A4">
        <w:rPr>
          <w:rFonts w:eastAsia="Times New Roman" w:cstheme="minorHAnsi"/>
          <w:sz w:val="20"/>
          <w:szCs w:val="20"/>
          <w:u w:val="single"/>
          <w:lang w:eastAsia="cs-CZ"/>
        </w:rPr>
        <w:t>Bezprostřední závaznost komunitárního práva ve vztahu k jednotlivcům</w:t>
      </w:r>
      <w:r>
        <w:rPr>
          <w:rFonts w:eastAsia="Times New Roman" w:cstheme="minorHAnsi"/>
          <w:sz w:val="20"/>
          <w:szCs w:val="20"/>
          <w:lang w:eastAsia="cs-CZ"/>
        </w:rPr>
        <w:t xml:space="preserve"> (subjektům práva)</w:t>
      </w:r>
      <w:r w:rsidR="005A32A4">
        <w:rPr>
          <w:rFonts w:eastAsia="Times New Roman" w:cstheme="minorHAnsi"/>
          <w:sz w:val="20"/>
          <w:szCs w:val="20"/>
          <w:lang w:eastAsia="cs-CZ"/>
        </w:rPr>
        <w:t>!</w:t>
      </w:r>
    </w:p>
    <w:p w:rsidR="00AD41E1" w:rsidRDefault="00AD41E1" w:rsidP="0081259E">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Právní norma má přímý účinek, přiznává-li práva nebo ukládá-li povinnost subjektům práva sama, bez prostřednictví jiné právní normy</w:t>
      </w:r>
    </w:p>
    <w:p w:rsidR="00AD41E1" w:rsidRDefault="00AD41E1" w:rsidP="0081259E">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Právní norma může mít přímý účinek tehdy, je-li </w:t>
      </w:r>
      <w:r w:rsidR="002259C7">
        <w:rPr>
          <w:rFonts w:eastAsia="Times New Roman" w:cstheme="minorHAnsi"/>
          <w:sz w:val="20"/>
          <w:szCs w:val="20"/>
          <w:lang w:eastAsia="cs-CZ"/>
        </w:rPr>
        <w:t>dostatečně konkrétní a srozumitelná a je-li bezpodmínečná (nesmí být podmíněna opatřením, které musí přijmout členský stát)</w:t>
      </w:r>
    </w:p>
    <w:p w:rsidR="00C84486" w:rsidRDefault="00C84486" w:rsidP="00FF0BC0">
      <w:pPr>
        <w:pStyle w:val="Odstavecseseznamem"/>
        <w:numPr>
          <w:ilvl w:val="1"/>
          <w:numId w:val="9"/>
        </w:numPr>
        <w:spacing w:after="0" w:line="240" w:lineRule="auto"/>
        <w:rPr>
          <w:rFonts w:eastAsia="Times New Roman" w:cstheme="minorHAnsi"/>
          <w:sz w:val="20"/>
          <w:szCs w:val="20"/>
          <w:lang w:eastAsia="cs-CZ"/>
        </w:rPr>
      </w:pPr>
      <w:r w:rsidRPr="00FF0BC0">
        <w:rPr>
          <w:rFonts w:eastAsia="Times New Roman" w:cstheme="minorHAnsi"/>
          <w:b/>
          <w:sz w:val="20"/>
          <w:szCs w:val="20"/>
          <w:lang w:eastAsia="cs-CZ"/>
        </w:rPr>
        <w:t>Vertikální</w:t>
      </w:r>
    </w:p>
    <w:p w:rsidR="00C84486" w:rsidRDefault="00C84486" w:rsidP="00C8448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Vztah mezi jednotlivce a členským státem</w:t>
      </w:r>
    </w:p>
    <w:p w:rsidR="00FF0BC0" w:rsidRPr="00FF0BC0" w:rsidRDefault="00C84486" w:rsidP="00FF0BC0">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Vertikální </w:t>
      </w:r>
      <w:r w:rsidRPr="00FF0BC0">
        <w:rPr>
          <w:rFonts w:eastAsia="Times New Roman" w:cstheme="minorHAnsi"/>
          <w:b/>
          <w:sz w:val="20"/>
          <w:szCs w:val="20"/>
          <w:lang w:eastAsia="cs-CZ"/>
        </w:rPr>
        <w:t>vzestupný</w:t>
      </w:r>
      <w:r>
        <w:rPr>
          <w:rFonts w:eastAsia="Times New Roman" w:cstheme="minorHAnsi"/>
          <w:sz w:val="20"/>
          <w:szCs w:val="20"/>
          <w:lang w:eastAsia="cs-CZ"/>
        </w:rPr>
        <w:t xml:space="preserve"> = jednotlivec se dovolává práva vůči státu</w:t>
      </w:r>
    </w:p>
    <w:p w:rsidR="00C84486" w:rsidRDefault="00C84486" w:rsidP="00C8448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Vertikální </w:t>
      </w:r>
      <w:r w:rsidRPr="00FF0BC0">
        <w:rPr>
          <w:rFonts w:eastAsia="Times New Roman" w:cstheme="minorHAnsi"/>
          <w:b/>
          <w:sz w:val="20"/>
          <w:szCs w:val="20"/>
          <w:lang w:eastAsia="cs-CZ"/>
        </w:rPr>
        <w:t>sestupný</w:t>
      </w:r>
      <w:r>
        <w:rPr>
          <w:rFonts w:eastAsia="Times New Roman" w:cstheme="minorHAnsi"/>
          <w:sz w:val="20"/>
          <w:szCs w:val="20"/>
          <w:lang w:eastAsia="cs-CZ"/>
        </w:rPr>
        <w:t xml:space="preserve"> = stát ukládá povinnost</w:t>
      </w:r>
      <w:r w:rsidR="00FF0BC0">
        <w:rPr>
          <w:rFonts w:eastAsia="Times New Roman" w:cstheme="minorHAnsi"/>
          <w:sz w:val="20"/>
          <w:szCs w:val="20"/>
          <w:lang w:eastAsia="cs-CZ"/>
        </w:rPr>
        <w:t xml:space="preserve"> jednotlivci</w:t>
      </w:r>
    </w:p>
    <w:p w:rsidR="00C84486" w:rsidRPr="00FF0BC0" w:rsidRDefault="00C84486" w:rsidP="0081259E">
      <w:pPr>
        <w:pStyle w:val="Odstavecseseznamem"/>
        <w:numPr>
          <w:ilvl w:val="1"/>
          <w:numId w:val="9"/>
        </w:numPr>
        <w:spacing w:after="0" w:line="240" w:lineRule="auto"/>
        <w:rPr>
          <w:rFonts w:eastAsia="Times New Roman" w:cstheme="minorHAnsi"/>
          <w:b/>
          <w:sz w:val="20"/>
          <w:szCs w:val="20"/>
          <w:lang w:eastAsia="cs-CZ"/>
        </w:rPr>
      </w:pPr>
      <w:r w:rsidRPr="00FF0BC0">
        <w:rPr>
          <w:rFonts w:eastAsia="Times New Roman" w:cstheme="minorHAnsi"/>
          <w:b/>
          <w:sz w:val="20"/>
          <w:szCs w:val="20"/>
          <w:lang w:eastAsia="cs-CZ"/>
        </w:rPr>
        <w:t>Horizontální</w:t>
      </w:r>
    </w:p>
    <w:p w:rsidR="00C84486" w:rsidRDefault="00FF0BC0" w:rsidP="00FF0BC0">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Upravuje vztahy mezi jednotlivci (zaměstnanec x zaměstnavatel)</w:t>
      </w:r>
    </w:p>
    <w:p w:rsidR="00FF0BC0" w:rsidRPr="00FF0BC0" w:rsidRDefault="00FF0BC0" w:rsidP="00FF0BC0">
      <w:pPr>
        <w:pStyle w:val="Odstavecseseznamem"/>
        <w:numPr>
          <w:ilvl w:val="1"/>
          <w:numId w:val="9"/>
        </w:numPr>
        <w:spacing w:after="0" w:line="240" w:lineRule="auto"/>
        <w:rPr>
          <w:rFonts w:eastAsia="Times New Roman" w:cstheme="minorHAnsi"/>
          <w:sz w:val="20"/>
          <w:szCs w:val="20"/>
          <w:u w:val="single"/>
          <w:lang w:eastAsia="cs-CZ"/>
        </w:rPr>
      </w:pPr>
      <w:r w:rsidRPr="00FF0BC0">
        <w:rPr>
          <w:rFonts w:eastAsia="Times New Roman" w:cstheme="minorHAnsi"/>
          <w:sz w:val="20"/>
          <w:szCs w:val="20"/>
          <w:u w:val="single"/>
          <w:lang w:eastAsia="cs-CZ"/>
        </w:rPr>
        <w:t>Směrnice mohou mít pouze přímý účinek vertikální vzestupný, nařízení a primární právo jakýkoliv</w:t>
      </w:r>
    </w:p>
    <w:p w:rsidR="005A32A4" w:rsidRDefault="005A32A4" w:rsidP="005A32A4">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Pro přímou aplikovatelnost je podmínkou řádná publikace v Úředním věstníku EU</w:t>
      </w:r>
    </w:p>
    <w:p w:rsidR="005F16C1" w:rsidRPr="00BB5DEE" w:rsidRDefault="005F16C1" w:rsidP="00BB5DEE">
      <w:pPr>
        <w:pStyle w:val="Nadpis2"/>
        <w:spacing w:before="0"/>
        <w:rPr>
          <w:rFonts w:eastAsia="Times New Roman"/>
          <w:lang w:eastAsia="cs-CZ"/>
        </w:rPr>
      </w:pPr>
      <w:r w:rsidRPr="00BB5DEE">
        <w:rPr>
          <w:rFonts w:eastAsia="Times New Roman"/>
          <w:lang w:eastAsia="cs-CZ"/>
        </w:rPr>
        <w:t>a) přímá aplikovatelnost primárního práva EU</w:t>
      </w:r>
      <w:bookmarkEnd w:id="24"/>
      <w:r w:rsidRPr="00BB5DEE">
        <w:rPr>
          <w:rFonts w:eastAsia="Times New Roman"/>
          <w:lang w:eastAsia="cs-CZ"/>
        </w:rPr>
        <w:t xml:space="preserve"> </w:t>
      </w:r>
    </w:p>
    <w:p w:rsidR="00370F57" w:rsidRDefault="0081259E"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Není výslovně stanovena v žádné ze zřizovacích smluv, ale je z nich vyvozena a formulována SD EU v judikátech</w:t>
      </w:r>
    </w:p>
    <w:p w:rsidR="00370F57" w:rsidRDefault="0081259E"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Některá ustanovení přímý účinek mají, a to ta, která jsou přímo aplikovatelná</w:t>
      </w:r>
    </w:p>
    <w:p w:rsidR="00370F57" w:rsidRDefault="0081259E"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Přímý zákaz uzavírání kartelových dohod na vnitřním trhu</w:t>
      </w:r>
    </w:p>
    <w:p w:rsidR="005F16C1" w:rsidRPr="00BB5DEE" w:rsidRDefault="005F16C1" w:rsidP="00BB5DEE">
      <w:pPr>
        <w:pStyle w:val="Nadpis2"/>
        <w:spacing w:before="0"/>
        <w:rPr>
          <w:rFonts w:eastAsia="Times New Roman"/>
          <w:lang w:eastAsia="cs-CZ"/>
        </w:rPr>
      </w:pPr>
      <w:bookmarkStart w:id="25" w:name="_Toc282320139"/>
      <w:r w:rsidRPr="00BB5DEE">
        <w:rPr>
          <w:rFonts w:eastAsia="Times New Roman"/>
          <w:lang w:eastAsia="cs-CZ"/>
        </w:rPr>
        <w:t>b) přímá aplikovatelnost nařízení EU</w:t>
      </w:r>
      <w:bookmarkEnd w:id="25"/>
      <w:r w:rsidRPr="00BB5DEE">
        <w:rPr>
          <w:rFonts w:eastAsia="Times New Roman"/>
          <w:lang w:eastAsia="cs-CZ"/>
        </w:rPr>
        <w:t xml:space="preserve"> </w:t>
      </w:r>
    </w:p>
    <w:p w:rsidR="00370F57" w:rsidRDefault="0081259E"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Smyslem nařízení je přímo upravovat práva a povinnosti jednotlivců, proto je přímý účinek nařízení nutný</w:t>
      </w:r>
    </w:p>
    <w:p w:rsidR="00370F57" w:rsidRDefault="0081259E" w:rsidP="005A32A4">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Přímý účinek nemají jenom ta nařízení, která nejsou přímo aplikovatelná nebo </w:t>
      </w:r>
      <w:r w:rsidR="005A32A4">
        <w:rPr>
          <w:rFonts w:eastAsia="Times New Roman" w:cstheme="minorHAnsi"/>
          <w:sz w:val="20"/>
          <w:szCs w:val="20"/>
          <w:lang w:eastAsia="cs-CZ"/>
        </w:rPr>
        <w:t>která jsou podmíněna splněním určité podmínky ze strany členského státu</w:t>
      </w:r>
    </w:p>
    <w:p w:rsidR="00252A55" w:rsidRDefault="00252A55" w:rsidP="00252A55">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Rozsudek Variola</w:t>
      </w:r>
    </w:p>
    <w:p w:rsidR="00252A55" w:rsidRDefault="00252A55" w:rsidP="00252A55">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Nařízení je pramen práva a členský stát nemůže bránit platnosti nařízení, tzn. nařízení vytlačuje předpis členského státu</w:t>
      </w:r>
    </w:p>
    <w:p w:rsidR="00252A55" w:rsidRDefault="004B779E" w:rsidP="00252A55">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Nařízení vyvolávají bezprostřední účinky a jsou plně způsobilé zakládat práva jednotlivci</w:t>
      </w:r>
    </w:p>
    <w:p w:rsidR="004B779E" w:rsidRPr="005A32A4" w:rsidRDefault="004B779E" w:rsidP="00252A55">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Výjimku tvoří pouze základní nařízení, které stanoví základní principy a přenechávají členskému státu jeho konkretizaci</w:t>
      </w:r>
    </w:p>
    <w:p w:rsidR="005F16C1" w:rsidRPr="00BB5DEE" w:rsidRDefault="005F16C1" w:rsidP="00BB5DEE">
      <w:pPr>
        <w:pStyle w:val="Nadpis2"/>
        <w:spacing w:before="0"/>
        <w:rPr>
          <w:rFonts w:eastAsia="Times New Roman"/>
          <w:lang w:eastAsia="cs-CZ"/>
        </w:rPr>
      </w:pPr>
      <w:bookmarkStart w:id="26" w:name="_Toc282320140"/>
      <w:r w:rsidRPr="00BB5DEE">
        <w:rPr>
          <w:rFonts w:eastAsia="Times New Roman"/>
          <w:lang w:eastAsia="cs-CZ"/>
        </w:rPr>
        <w:t>c) přímá aplikovatelnost směrnic EU</w:t>
      </w:r>
      <w:bookmarkEnd w:id="26"/>
      <w:r w:rsidRPr="00BB5DEE">
        <w:rPr>
          <w:rFonts w:eastAsia="Times New Roman"/>
          <w:lang w:eastAsia="cs-CZ"/>
        </w:rPr>
        <w:t xml:space="preserve"> </w:t>
      </w:r>
    </w:p>
    <w:p w:rsidR="00370F57" w:rsidRDefault="00C84486"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Vlastnost přímého účinku směrnic by neměla přicházet do úvahy, protože směrnice jsou určeny výhradně členským státům</w:t>
      </w:r>
    </w:p>
    <w:p w:rsidR="00370F57" w:rsidRDefault="00C84486"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Judikáty SD EU stanoven přímý účinek v případech nedodržení transpozice nebo implementace směrnice</w:t>
      </w:r>
    </w:p>
    <w:p w:rsidR="00C84486" w:rsidRDefault="00C84486"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Přímý účinek směrnice – pouze vertikální vzestupný</w:t>
      </w:r>
    </w:p>
    <w:p w:rsidR="00C84486" w:rsidRDefault="00C84486" w:rsidP="00C8448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Jednotlivec se může na základě přímo účinné směrnice dovolat svého práva vůči členskému státu</w:t>
      </w:r>
    </w:p>
    <w:p w:rsidR="00C84486" w:rsidRDefault="00C84486" w:rsidP="00C84486">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Nemůže mu být uložena žádná povinnost</w:t>
      </w:r>
    </w:p>
    <w:p w:rsidR="00C84486" w:rsidRDefault="00C84486" w:rsidP="00C8448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Členský stát se nemůže dovolávat toho, že by transpozicí a implementací směrnice porušil vlastní právní normu (viz Van Duyn)</w:t>
      </w:r>
    </w:p>
    <w:p w:rsidR="00370F57" w:rsidRPr="00C84486" w:rsidRDefault="00370F57" w:rsidP="00C84486">
      <w:pPr>
        <w:spacing w:after="0" w:line="240" w:lineRule="auto"/>
        <w:rPr>
          <w:rFonts w:eastAsia="Times New Roman" w:cstheme="minorHAnsi"/>
          <w:sz w:val="20"/>
          <w:szCs w:val="20"/>
          <w:lang w:eastAsia="cs-CZ"/>
        </w:rPr>
      </w:pPr>
    </w:p>
    <w:p w:rsidR="005F16C1" w:rsidRPr="009C50F4" w:rsidRDefault="005F16C1" w:rsidP="009C50F4">
      <w:pPr>
        <w:spacing w:after="0" w:line="240" w:lineRule="auto"/>
        <w:rPr>
          <w:rFonts w:eastAsia="Times New Roman" w:cstheme="minorHAnsi"/>
          <w:sz w:val="20"/>
          <w:szCs w:val="20"/>
          <w:lang w:eastAsia="cs-CZ"/>
        </w:rPr>
      </w:pPr>
      <w:r w:rsidRPr="009C50F4">
        <w:rPr>
          <w:rFonts w:eastAsia="Times New Roman" w:cstheme="minorHAnsi"/>
          <w:sz w:val="20"/>
          <w:szCs w:val="20"/>
          <w:lang w:eastAsia="cs-CZ"/>
        </w:rPr>
        <w:br w:type="page"/>
      </w:r>
    </w:p>
    <w:p w:rsidR="005F16C1" w:rsidRPr="00BB5DEE" w:rsidRDefault="005F16C1" w:rsidP="00BB5DEE">
      <w:pPr>
        <w:pStyle w:val="Nadpis1"/>
        <w:rPr>
          <w:rFonts w:eastAsia="Times New Roman"/>
          <w:lang w:eastAsia="cs-CZ"/>
        </w:rPr>
      </w:pPr>
      <w:bookmarkStart w:id="27" w:name="_Toc282320141"/>
      <w:r w:rsidRPr="00BB5DEE">
        <w:rPr>
          <w:rFonts w:eastAsia="Times New Roman"/>
          <w:lang w:eastAsia="cs-CZ"/>
        </w:rPr>
        <w:lastRenderedPageBreak/>
        <w:t>6. Vztah práva EU a vnitrostátního práva členských států EU</w:t>
      </w:r>
      <w:bookmarkEnd w:id="27"/>
      <w:r w:rsidRPr="00BB5DEE">
        <w:rPr>
          <w:rFonts w:eastAsia="Times New Roman"/>
          <w:lang w:eastAsia="cs-CZ"/>
        </w:rPr>
        <w:t xml:space="preserve"> </w:t>
      </w:r>
    </w:p>
    <w:p w:rsidR="005F16C1" w:rsidRPr="00BB5DEE" w:rsidRDefault="005F16C1" w:rsidP="00BB5DEE">
      <w:pPr>
        <w:pStyle w:val="Nadpis2"/>
        <w:spacing w:before="0"/>
        <w:rPr>
          <w:rFonts w:eastAsia="Times New Roman"/>
          <w:lang w:eastAsia="cs-CZ"/>
        </w:rPr>
      </w:pPr>
      <w:bookmarkStart w:id="28" w:name="_Toc282320142"/>
      <w:r w:rsidRPr="00BB5DEE">
        <w:rPr>
          <w:rFonts w:eastAsia="Times New Roman"/>
          <w:lang w:eastAsia="cs-CZ"/>
        </w:rPr>
        <w:t>a) zásada aplikační přednosti práva EU podle rozsudku ESD ve věci Costa v. Enel</w:t>
      </w:r>
      <w:bookmarkEnd w:id="28"/>
      <w:r w:rsidRPr="00BB5DEE">
        <w:rPr>
          <w:rFonts w:eastAsia="Times New Roman"/>
          <w:lang w:eastAsia="cs-CZ"/>
        </w:rPr>
        <w:t xml:space="preserve"> </w:t>
      </w:r>
    </w:p>
    <w:p w:rsidR="00370F57" w:rsidRDefault="002A74AC"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Soud vycházel ze samostatnosti práva EU</w:t>
      </w:r>
    </w:p>
    <w:p w:rsidR="00370F57" w:rsidRDefault="002A74AC"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Flaminio Costa byl akcionářem společnosti vyrábějící elektřinu, italská vláda společnost znárodnila</w:t>
      </w:r>
    </w:p>
    <w:p w:rsidR="006F0779" w:rsidRDefault="006F0779"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Advokát Costa napadá vytvoření elektrárenského monopolu znárodňovacím aktem</w:t>
      </w:r>
      <w:r w:rsidR="00D4425E">
        <w:rPr>
          <w:rFonts w:eastAsia="Times New Roman" w:cstheme="minorHAnsi"/>
          <w:sz w:val="20"/>
          <w:szCs w:val="20"/>
          <w:lang w:eastAsia="cs-CZ"/>
        </w:rPr>
        <w:t>, což je v rozporu s právem EU</w:t>
      </w:r>
    </w:p>
    <w:p w:rsidR="00D4425E" w:rsidRDefault="00D4425E"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Itálie odmítá aplikovat komunitární právo, protože národní právo vytvoření monopolu umožňuje</w:t>
      </w:r>
    </w:p>
    <w:p w:rsidR="002A74AC" w:rsidRDefault="002A74AC" w:rsidP="002A74AC">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Střet normy vnitrostátního práva s právem EU </w:t>
      </w:r>
    </w:p>
    <w:p w:rsidR="002A74AC" w:rsidRDefault="002A74AC" w:rsidP="002A74AC">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ESD stanovil aplikační přednost práva EU, které vzniklo přenosem pravomocí z členských států</w:t>
      </w:r>
    </w:p>
    <w:p w:rsidR="002A74AC" w:rsidRDefault="00EE43F8" w:rsidP="002A74AC">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Aplikační důsledek</w:t>
      </w:r>
    </w:p>
    <w:p w:rsidR="00370F57" w:rsidRPr="00EE43F8" w:rsidRDefault="00EE43F8" w:rsidP="00EE43F8">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Neaplikovatelnost národních předpisů, i později přijatých, jsou-li v rozporu s právem EU</w:t>
      </w:r>
    </w:p>
    <w:p w:rsidR="005F16C1" w:rsidRPr="00BB5DEE" w:rsidRDefault="005F16C1" w:rsidP="00BB5DEE">
      <w:pPr>
        <w:pStyle w:val="Nadpis2"/>
        <w:spacing w:before="0"/>
        <w:rPr>
          <w:rFonts w:eastAsia="Times New Roman"/>
          <w:lang w:eastAsia="cs-CZ"/>
        </w:rPr>
      </w:pPr>
      <w:bookmarkStart w:id="29" w:name="_Toc282320143"/>
      <w:r w:rsidRPr="00BB5DEE">
        <w:rPr>
          <w:rFonts w:eastAsia="Times New Roman"/>
          <w:lang w:eastAsia="cs-CZ"/>
        </w:rPr>
        <w:t>b) ústavní výjimka ze zásady aplikační přednosti</w:t>
      </w:r>
      <w:bookmarkEnd w:id="29"/>
      <w:r w:rsidRPr="00BB5DEE">
        <w:rPr>
          <w:rFonts w:eastAsia="Times New Roman"/>
          <w:lang w:eastAsia="cs-CZ"/>
        </w:rPr>
        <w:t xml:space="preserve"> </w:t>
      </w:r>
    </w:p>
    <w:p w:rsidR="00D672B4" w:rsidRDefault="00D672B4"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 Lisabonské smlouvy mají výjimku VB, Polsko a ČR</w:t>
      </w:r>
    </w:p>
    <w:p w:rsidR="00FC041D" w:rsidRDefault="00FC041D"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Ústavní soud ČR stanovil, že </w:t>
      </w:r>
      <w:r w:rsidRPr="00FC041D">
        <w:rPr>
          <w:rFonts w:eastAsia="Times New Roman" w:cstheme="minorHAnsi"/>
          <w:sz w:val="20"/>
          <w:szCs w:val="20"/>
          <w:lang w:eastAsia="cs-CZ"/>
        </w:rPr>
        <w:t>propůjčení části pravomocí České republiky orgánům ES je propůjčením podmíněným a může trvat potud, pokud jsou tyto pravomoci vykonávány těmito orgány způsobem slučitelným s uchováním základů státní suveren</w:t>
      </w:r>
      <w:r>
        <w:rPr>
          <w:rFonts w:eastAsia="Times New Roman" w:cstheme="minorHAnsi"/>
          <w:sz w:val="20"/>
          <w:szCs w:val="20"/>
          <w:lang w:eastAsia="cs-CZ"/>
        </w:rPr>
        <w:t>ity ČR a způsobem, který neohrožuje samu podstatu právního státu</w:t>
      </w:r>
    </w:p>
    <w:p w:rsidR="00767B5D" w:rsidRDefault="00767B5D" w:rsidP="00767B5D">
      <w:pPr>
        <w:pStyle w:val="Odstavecseseznamem"/>
        <w:numPr>
          <w:ilvl w:val="1"/>
          <w:numId w:val="9"/>
        </w:numPr>
        <w:spacing w:after="0" w:line="240" w:lineRule="auto"/>
        <w:rPr>
          <w:rFonts w:eastAsia="Times New Roman" w:cstheme="minorHAnsi"/>
          <w:sz w:val="20"/>
          <w:szCs w:val="20"/>
          <w:lang w:eastAsia="cs-CZ"/>
        </w:rPr>
      </w:pPr>
      <w:r w:rsidRPr="00767B5D">
        <w:rPr>
          <w:rFonts w:eastAsia="Times New Roman" w:cstheme="minorHAnsi"/>
          <w:sz w:val="20"/>
          <w:szCs w:val="20"/>
          <w:lang w:eastAsia="cs-CZ"/>
        </w:rPr>
        <w:t>přímá přednostní aplikace komunitárních pravidel nesmí ohrozit samotnou podstatu svrchovanosti ČR a demokratické hodnoty právního státu</w:t>
      </w:r>
      <w:r w:rsidRPr="00767B5D">
        <w:rPr>
          <w:rFonts w:eastAsia="Times New Roman" w:cstheme="minorHAnsi"/>
          <w:sz w:val="20"/>
          <w:szCs w:val="20"/>
          <w:lang w:eastAsia="cs-CZ"/>
        </w:rPr>
        <w:sym w:font="Wingdings" w:char="F0E0"/>
      </w:r>
      <w:r w:rsidRPr="00767B5D">
        <w:rPr>
          <w:rFonts w:eastAsia="Times New Roman" w:cstheme="minorHAnsi"/>
          <w:sz w:val="20"/>
          <w:szCs w:val="20"/>
          <w:lang w:eastAsia="cs-CZ"/>
        </w:rPr>
        <w:t xml:space="preserve"> nesmí být v rozporu s </w:t>
      </w:r>
    </w:p>
    <w:p w:rsidR="00767B5D" w:rsidRDefault="00767B5D" w:rsidP="00767B5D">
      <w:pPr>
        <w:pStyle w:val="Odstavecseseznamem"/>
        <w:numPr>
          <w:ilvl w:val="2"/>
          <w:numId w:val="9"/>
        </w:numPr>
        <w:spacing w:after="0" w:line="240" w:lineRule="auto"/>
        <w:rPr>
          <w:rFonts w:eastAsia="Times New Roman" w:cstheme="minorHAnsi"/>
          <w:sz w:val="20"/>
          <w:szCs w:val="20"/>
          <w:lang w:eastAsia="cs-CZ"/>
        </w:rPr>
      </w:pPr>
      <w:r w:rsidRPr="00767B5D">
        <w:rPr>
          <w:rFonts w:eastAsia="Times New Roman" w:cstheme="minorHAnsi"/>
          <w:sz w:val="20"/>
          <w:szCs w:val="20"/>
          <w:lang w:eastAsia="cs-CZ"/>
        </w:rPr>
        <w:t>čl. 1 ÚČR</w:t>
      </w:r>
    </w:p>
    <w:p w:rsidR="00767B5D" w:rsidRDefault="00767B5D" w:rsidP="00767B5D">
      <w:pPr>
        <w:pStyle w:val="Odstavecseseznamem"/>
        <w:numPr>
          <w:ilvl w:val="3"/>
          <w:numId w:val="9"/>
        </w:numPr>
        <w:spacing w:after="0" w:line="240" w:lineRule="auto"/>
        <w:rPr>
          <w:rFonts w:eastAsia="Times New Roman" w:cstheme="minorHAnsi"/>
          <w:sz w:val="20"/>
          <w:szCs w:val="20"/>
          <w:lang w:eastAsia="cs-CZ"/>
        </w:rPr>
      </w:pPr>
      <w:r w:rsidRPr="00767B5D">
        <w:rPr>
          <w:rFonts w:eastAsia="Times New Roman" w:cstheme="minorHAnsi"/>
          <w:sz w:val="20"/>
          <w:szCs w:val="20"/>
          <w:lang w:eastAsia="cs-CZ"/>
        </w:rPr>
        <w:t>Česká republika je svrchovaný, jednotný a demokratický právní stát založený na úctě k právům a svobodám člověka a občana.</w:t>
      </w:r>
    </w:p>
    <w:p w:rsidR="00767B5D" w:rsidRDefault="00767B5D" w:rsidP="00767B5D">
      <w:pPr>
        <w:pStyle w:val="Odstavecseseznamem"/>
        <w:numPr>
          <w:ilvl w:val="3"/>
          <w:numId w:val="9"/>
        </w:numPr>
        <w:spacing w:after="0" w:line="240" w:lineRule="auto"/>
        <w:rPr>
          <w:rFonts w:eastAsia="Times New Roman" w:cstheme="minorHAnsi"/>
          <w:sz w:val="20"/>
          <w:szCs w:val="20"/>
          <w:lang w:eastAsia="cs-CZ"/>
        </w:rPr>
      </w:pPr>
      <w:r w:rsidRPr="00767B5D">
        <w:rPr>
          <w:rFonts w:eastAsia="Times New Roman" w:cstheme="minorHAnsi"/>
          <w:sz w:val="20"/>
          <w:szCs w:val="20"/>
          <w:lang w:eastAsia="cs-CZ"/>
        </w:rPr>
        <w:t>Česká republika dodržuje závazky, které pro ni vyplývají z mezinárodního práva.“</w:t>
      </w:r>
    </w:p>
    <w:p w:rsidR="00767B5D" w:rsidRDefault="00767B5D" w:rsidP="00767B5D">
      <w:pPr>
        <w:pStyle w:val="Odstavecseseznamem"/>
        <w:numPr>
          <w:ilvl w:val="2"/>
          <w:numId w:val="9"/>
        </w:numPr>
        <w:spacing w:after="0" w:line="240" w:lineRule="auto"/>
        <w:rPr>
          <w:rFonts w:eastAsia="Times New Roman" w:cstheme="minorHAnsi"/>
          <w:sz w:val="20"/>
          <w:szCs w:val="20"/>
          <w:lang w:eastAsia="cs-CZ"/>
        </w:rPr>
      </w:pPr>
      <w:r w:rsidRPr="00767B5D">
        <w:rPr>
          <w:rFonts w:eastAsia="Times New Roman" w:cstheme="minorHAnsi"/>
          <w:sz w:val="20"/>
          <w:szCs w:val="20"/>
          <w:lang w:eastAsia="cs-CZ"/>
        </w:rPr>
        <w:t>9/2 ÚČR (čl. 9 → tvrdé jádro ústavy)</w:t>
      </w:r>
    </w:p>
    <w:p w:rsidR="00767B5D" w:rsidRPr="00767B5D" w:rsidRDefault="00767B5D" w:rsidP="00767B5D">
      <w:pPr>
        <w:pStyle w:val="Odstavecseseznamem"/>
        <w:numPr>
          <w:ilvl w:val="3"/>
          <w:numId w:val="9"/>
        </w:numPr>
        <w:spacing w:after="0" w:line="240" w:lineRule="auto"/>
        <w:rPr>
          <w:rFonts w:eastAsia="Times New Roman" w:cstheme="minorHAnsi"/>
          <w:sz w:val="20"/>
          <w:szCs w:val="20"/>
          <w:lang w:eastAsia="cs-CZ"/>
        </w:rPr>
      </w:pPr>
      <w:r w:rsidRPr="00767B5D">
        <w:rPr>
          <w:rFonts w:eastAsia="Times New Roman" w:cstheme="minorHAnsi"/>
          <w:sz w:val="20"/>
          <w:szCs w:val="20"/>
          <w:lang w:eastAsia="cs-CZ"/>
        </w:rPr>
        <w:t>Změna podstatných náležitostí demokratického právního státu je nepřípustná.“</w:t>
      </w:r>
    </w:p>
    <w:p w:rsidR="00FE00B7" w:rsidRDefault="00FE00B7" w:rsidP="00FE00B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Cukerné kvóty</w:t>
      </w:r>
    </w:p>
    <w:p w:rsidR="00FE00B7" w:rsidRDefault="00FE00B7" w:rsidP="00FE00B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Posuzování sekundárního práva</w:t>
      </w:r>
    </w:p>
    <w:p w:rsidR="00FE00B7" w:rsidRDefault="00D672B4" w:rsidP="00FE00B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Komunitární právo nemůže být kriteriem pro posuzování ústavnosti vnitrostátního předpisu</w:t>
      </w:r>
    </w:p>
    <w:p w:rsidR="00BC0C04" w:rsidRDefault="00BC0C04" w:rsidP="00BC0C04">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Eurozatykač (obdobně jako cukerné kvóty)</w:t>
      </w:r>
    </w:p>
    <w:p w:rsidR="00BC0C04" w:rsidRDefault="00BC0C04" w:rsidP="00BC0C04">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i/>
          <w:sz w:val="20"/>
          <w:szCs w:val="20"/>
          <w:lang w:eastAsia="cs-CZ"/>
        </w:rPr>
        <w:t>V případě jasného konfliktu mezi domácí ústavou a evropským právem, který nelze zhojit žádnou rozumnou interpretací, musí mít ústavní pořádek ČR, zejména jeho materiální ohnisko, přednost!</w:t>
      </w:r>
    </w:p>
    <w:p w:rsidR="00370F57" w:rsidRDefault="00A721F5"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Rozsudek </w:t>
      </w:r>
      <w:r w:rsidR="007A3C27">
        <w:rPr>
          <w:rFonts w:eastAsia="Times New Roman" w:cstheme="minorHAnsi"/>
          <w:sz w:val="20"/>
          <w:szCs w:val="20"/>
          <w:lang w:eastAsia="cs-CZ"/>
        </w:rPr>
        <w:t>Paola Faccini Dori x Recreb</w:t>
      </w:r>
    </w:p>
    <w:p w:rsidR="00370F57" w:rsidRDefault="007A3C27"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Ochrana spotřebitele při uzavření smlouvy mimo obchodní prostory</w:t>
      </w:r>
    </w:p>
    <w:p w:rsidR="00370F57" w:rsidRDefault="007A3C27"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Paní uzavřela na nádraží smlouvu o korespondenčním kurzu angličtiny, za několik dní společnost informovala, že od smlouvy odstupuje a dovolávala se směrnice o smlouvách uzavřených mimo obchodní prostory, která umožňuje odstoupit od smlouvy ve lhůtě 7 dnů</w:t>
      </w:r>
    </w:p>
    <w:p w:rsidR="007A3C27" w:rsidRDefault="007A3C27" w:rsidP="007A3C27">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Pro tyto smlouvy je charakteristická iniciace ze strany dodavatele a určitý nátlak na spotřebitele</w:t>
      </w:r>
    </w:p>
    <w:p w:rsidR="005F16C1" w:rsidRPr="00BB5DEE" w:rsidRDefault="005F16C1" w:rsidP="00BB5DEE">
      <w:pPr>
        <w:pStyle w:val="Nadpis2"/>
        <w:spacing w:before="0"/>
        <w:rPr>
          <w:rFonts w:eastAsia="Times New Roman"/>
          <w:lang w:eastAsia="cs-CZ"/>
        </w:rPr>
      </w:pPr>
      <w:bookmarkStart w:id="30" w:name="_Toc282320144"/>
      <w:r w:rsidRPr="00BB5DEE">
        <w:rPr>
          <w:rFonts w:eastAsia="Times New Roman"/>
          <w:lang w:eastAsia="cs-CZ"/>
        </w:rPr>
        <w:t>c) zásada eurokonformního výkladu</w:t>
      </w:r>
      <w:bookmarkEnd w:id="30"/>
      <w:r w:rsidRPr="00BB5DEE">
        <w:rPr>
          <w:rFonts w:eastAsia="Times New Roman"/>
          <w:lang w:eastAsia="cs-CZ"/>
        </w:rPr>
        <w:t xml:space="preserve"> </w:t>
      </w:r>
    </w:p>
    <w:p w:rsidR="00370F57" w:rsidRDefault="006D2810"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nepřímá použitelnost práva EU</w:t>
      </w:r>
    </w:p>
    <w:p w:rsidR="006D2810" w:rsidRDefault="006D2810"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 případě, kdy konkrétní akt práva EU nemá přímý účinek, je členský stát povinen interpretovat vnitrostátní právní předpis, přijatý na základě transpozice určité směrnice, dle účelu daného aktu práva komunitárního.</w:t>
      </w:r>
    </w:p>
    <w:p w:rsidR="006D2810" w:rsidRDefault="006D2810"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Jedná se o projev zásady loajality</w:t>
      </w:r>
    </w:p>
    <w:p w:rsidR="006D2810" w:rsidRDefault="006D2810"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Povinnost eurokonformního výkladu se vztahuje i na rámcová rozhodnutí</w:t>
      </w:r>
    </w:p>
    <w:p w:rsidR="00370F57" w:rsidRDefault="007C2851"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Rozsudek Van Colson</w:t>
      </w:r>
      <w:r w:rsidR="00AC607D">
        <w:rPr>
          <w:rStyle w:val="Znakapoznpodarou"/>
          <w:rFonts w:eastAsia="Times New Roman" w:cstheme="minorHAnsi"/>
          <w:sz w:val="20"/>
          <w:szCs w:val="20"/>
          <w:lang w:eastAsia="cs-CZ"/>
        </w:rPr>
        <w:footnoteReference w:id="5"/>
      </w:r>
    </w:p>
    <w:p w:rsidR="00370F57" w:rsidRDefault="00B96B6C"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Stanovena povinnost eurokonformního výkladu</w:t>
      </w:r>
    </w:p>
    <w:p w:rsidR="00D47A64" w:rsidRDefault="00D47A64" w:rsidP="00D47A64">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Předběžná otázka v případu Pupino</w:t>
      </w:r>
      <w:r>
        <w:rPr>
          <w:rStyle w:val="Znakapoznpodarou"/>
          <w:rFonts w:eastAsia="Times New Roman" w:cstheme="minorHAnsi"/>
          <w:sz w:val="20"/>
          <w:szCs w:val="20"/>
          <w:lang w:eastAsia="cs-CZ"/>
        </w:rPr>
        <w:footnoteReference w:id="6"/>
      </w:r>
    </w:p>
    <w:p w:rsidR="00D47A64" w:rsidRDefault="00D47A64" w:rsidP="00D47A64">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Rámcové rozhodnutí Rady o postavení obětí v trestním řízení</w:t>
      </w:r>
    </w:p>
    <w:p w:rsidR="00D47A64" w:rsidRDefault="00D47A64" w:rsidP="00D47A64">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I dětem nízkého věku musí být umožněno učinit výpověď, pokud tvrdí, že s nimi bylo špatně zacházeno</w:t>
      </w:r>
    </w:p>
    <w:p w:rsidR="005F16C1" w:rsidRPr="009C50F4" w:rsidRDefault="005F16C1" w:rsidP="009C50F4">
      <w:pPr>
        <w:spacing w:after="0" w:line="240" w:lineRule="auto"/>
        <w:rPr>
          <w:rFonts w:eastAsia="Times New Roman" w:cstheme="minorHAnsi"/>
          <w:sz w:val="20"/>
          <w:szCs w:val="20"/>
          <w:lang w:eastAsia="cs-CZ"/>
        </w:rPr>
      </w:pPr>
      <w:r w:rsidRPr="009C50F4">
        <w:rPr>
          <w:rFonts w:eastAsia="Times New Roman" w:cstheme="minorHAnsi"/>
          <w:sz w:val="20"/>
          <w:szCs w:val="20"/>
          <w:lang w:eastAsia="cs-CZ"/>
        </w:rPr>
        <w:br w:type="page"/>
      </w:r>
    </w:p>
    <w:p w:rsidR="005F16C1" w:rsidRPr="00BB5DEE" w:rsidRDefault="005F16C1" w:rsidP="00BB5DEE">
      <w:pPr>
        <w:pStyle w:val="Nadpis1"/>
        <w:rPr>
          <w:rFonts w:eastAsia="Times New Roman"/>
          <w:lang w:eastAsia="cs-CZ"/>
        </w:rPr>
      </w:pPr>
      <w:bookmarkStart w:id="31" w:name="_Toc282320145"/>
      <w:r w:rsidRPr="00BB5DEE">
        <w:rPr>
          <w:rFonts w:eastAsia="Times New Roman"/>
          <w:lang w:eastAsia="cs-CZ"/>
        </w:rPr>
        <w:lastRenderedPageBreak/>
        <w:t xml:space="preserve">7. Základní </w:t>
      </w:r>
      <w:r w:rsidR="008A5EB0" w:rsidRPr="00BB5DEE">
        <w:rPr>
          <w:rFonts w:eastAsia="Times New Roman"/>
          <w:lang w:eastAsia="cs-CZ"/>
        </w:rPr>
        <w:t>charakteristika</w:t>
      </w:r>
      <w:r w:rsidRPr="00BB5DEE">
        <w:rPr>
          <w:rFonts w:eastAsia="Times New Roman"/>
          <w:lang w:eastAsia="cs-CZ"/>
        </w:rPr>
        <w:t xml:space="preserve"> orgánů EU</w:t>
      </w:r>
      <w:bookmarkEnd w:id="31"/>
      <w:r w:rsidRPr="00BB5DEE">
        <w:rPr>
          <w:rFonts w:eastAsia="Times New Roman"/>
          <w:lang w:eastAsia="cs-CZ"/>
        </w:rPr>
        <w:t xml:space="preserve"> </w:t>
      </w:r>
    </w:p>
    <w:p w:rsidR="00BC0C04" w:rsidRDefault="00BC0C04" w:rsidP="00BC0C04">
      <w:pPr>
        <w:pStyle w:val="Odstavecseseznamem"/>
        <w:numPr>
          <w:ilvl w:val="0"/>
          <w:numId w:val="9"/>
        </w:numPr>
        <w:spacing w:after="0" w:line="240" w:lineRule="auto"/>
        <w:rPr>
          <w:rFonts w:eastAsia="Times New Roman" w:cstheme="minorHAnsi"/>
          <w:sz w:val="20"/>
          <w:szCs w:val="20"/>
          <w:lang w:eastAsia="cs-CZ"/>
        </w:rPr>
      </w:pPr>
      <w:bookmarkStart w:id="32" w:name="_Toc282320146"/>
      <w:r>
        <w:rPr>
          <w:rFonts w:eastAsia="Times New Roman" w:cstheme="minorHAnsi"/>
          <w:sz w:val="20"/>
          <w:szCs w:val="20"/>
          <w:lang w:eastAsia="cs-CZ"/>
        </w:rPr>
        <w:t>Nové funkce zřízené v rámci institucionální reformy EU</w:t>
      </w:r>
    </w:p>
    <w:p w:rsidR="00BC0C04" w:rsidRDefault="00BC0C04" w:rsidP="00BC0C04">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Stálý předseda Evropské rady </w:t>
      </w:r>
      <w:r w:rsidR="00F23840">
        <w:rPr>
          <w:rFonts w:eastAsia="Times New Roman" w:cstheme="minorHAnsi"/>
          <w:sz w:val="20"/>
          <w:szCs w:val="20"/>
          <w:lang w:eastAsia="cs-CZ"/>
        </w:rPr>
        <w:t>–</w:t>
      </w:r>
      <w:r>
        <w:rPr>
          <w:rFonts w:eastAsia="Times New Roman" w:cstheme="minorHAnsi"/>
          <w:sz w:val="20"/>
          <w:szCs w:val="20"/>
          <w:lang w:eastAsia="cs-CZ"/>
        </w:rPr>
        <w:t xml:space="preserve"> </w:t>
      </w:r>
      <w:r w:rsidR="00F23840">
        <w:rPr>
          <w:rFonts w:eastAsia="Times New Roman" w:cstheme="minorHAnsi"/>
          <w:sz w:val="20"/>
          <w:szCs w:val="20"/>
          <w:lang w:eastAsia="cs-CZ"/>
        </w:rPr>
        <w:t>Herman Van Rompuy</w:t>
      </w:r>
    </w:p>
    <w:p w:rsidR="00BC0C04" w:rsidRDefault="00BC0C04" w:rsidP="00BC0C04">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Volen na 2,5 roku</w:t>
      </w:r>
    </w:p>
    <w:p w:rsidR="00F23840" w:rsidRDefault="00F23840" w:rsidP="00BC0C04">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Zastupuje EU navenek</w:t>
      </w:r>
    </w:p>
    <w:p w:rsidR="00F23840" w:rsidRDefault="00F23840" w:rsidP="00F23840">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Vysoký představitel Unie pro zahraniční věci a bezpečnostní politiku</w:t>
      </w:r>
    </w:p>
    <w:p w:rsidR="00F23840" w:rsidRDefault="00F23840" w:rsidP="00F23840">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Místopředseda Komise – Catherine Ashton</w:t>
      </w:r>
    </w:p>
    <w:p w:rsidR="00F23840" w:rsidRDefault="00F23840" w:rsidP="00F23840">
      <w:pPr>
        <w:pStyle w:val="Odstavecseseznamem"/>
        <w:numPr>
          <w:ilvl w:val="0"/>
          <w:numId w:val="9"/>
        </w:numPr>
        <w:spacing w:after="0" w:line="240" w:lineRule="auto"/>
        <w:rPr>
          <w:rFonts w:eastAsia="Times New Roman" w:cstheme="minorHAnsi"/>
          <w:sz w:val="20"/>
          <w:szCs w:val="20"/>
          <w:lang w:eastAsia="cs-CZ"/>
        </w:rPr>
      </w:pPr>
      <w:r w:rsidRPr="00F23840">
        <w:rPr>
          <w:rFonts w:eastAsia="Times New Roman" w:cstheme="minorHAnsi"/>
          <w:sz w:val="20"/>
          <w:szCs w:val="20"/>
          <w:lang w:eastAsia="cs-CZ"/>
        </w:rPr>
        <w:t xml:space="preserve">V rozdělení zodpovědností ve věci unijního práva platí, že </w:t>
      </w:r>
      <w:r w:rsidRPr="00F23840">
        <w:rPr>
          <w:rFonts w:eastAsia="Times New Roman" w:cstheme="minorHAnsi"/>
          <w:b/>
          <w:sz w:val="20"/>
          <w:szCs w:val="20"/>
          <w:lang w:eastAsia="cs-CZ"/>
        </w:rPr>
        <w:t>Komise navrhuje, Evropský parlament doporučuje, Rada Evropské unie rozhoduje a Evropský soudní dvůr řeší spory</w:t>
      </w:r>
      <w:r w:rsidRPr="00F23840">
        <w:rPr>
          <w:rFonts w:eastAsia="Times New Roman" w:cstheme="minorHAnsi"/>
          <w:sz w:val="20"/>
          <w:szCs w:val="20"/>
          <w:lang w:eastAsia="cs-CZ"/>
        </w:rPr>
        <w:t>.</w:t>
      </w:r>
    </w:p>
    <w:p w:rsidR="00E11DD6" w:rsidRDefault="00E11DD6" w:rsidP="00F23840">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Pozor!! </w:t>
      </w:r>
      <w:r w:rsidRPr="00E11DD6">
        <w:rPr>
          <w:rFonts w:eastAsia="Times New Roman" w:cstheme="minorHAnsi"/>
          <w:sz w:val="20"/>
          <w:szCs w:val="20"/>
          <w:u w:val="single"/>
          <w:lang w:eastAsia="cs-CZ"/>
        </w:rPr>
        <w:t>Rada EU (Rada ministrů)</w:t>
      </w:r>
      <w:r>
        <w:rPr>
          <w:rFonts w:eastAsia="Times New Roman" w:cstheme="minorHAnsi"/>
          <w:sz w:val="20"/>
          <w:szCs w:val="20"/>
          <w:lang w:eastAsia="cs-CZ"/>
        </w:rPr>
        <w:t xml:space="preserve"> je legislativní a výkonný orgán EU; </w:t>
      </w:r>
      <w:r w:rsidRPr="00E11DD6">
        <w:rPr>
          <w:rFonts w:eastAsia="Times New Roman" w:cstheme="minorHAnsi"/>
          <w:sz w:val="20"/>
          <w:szCs w:val="20"/>
          <w:u w:val="single"/>
          <w:lang w:eastAsia="cs-CZ"/>
        </w:rPr>
        <w:t>Evropská rada</w:t>
      </w:r>
      <w:r>
        <w:rPr>
          <w:rFonts w:eastAsia="Times New Roman" w:cstheme="minorHAnsi"/>
          <w:sz w:val="20"/>
          <w:szCs w:val="20"/>
          <w:lang w:eastAsia="cs-CZ"/>
        </w:rPr>
        <w:t xml:space="preserve"> je politický orgán EU; </w:t>
      </w:r>
      <w:r w:rsidRPr="00E11DD6">
        <w:rPr>
          <w:rFonts w:eastAsia="Times New Roman" w:cstheme="minorHAnsi"/>
          <w:sz w:val="20"/>
          <w:szCs w:val="20"/>
          <w:u w:val="single"/>
          <w:lang w:eastAsia="cs-CZ"/>
        </w:rPr>
        <w:t>Rada Evropy</w:t>
      </w:r>
      <w:r>
        <w:rPr>
          <w:rFonts w:eastAsia="Times New Roman" w:cstheme="minorHAnsi"/>
          <w:sz w:val="20"/>
          <w:szCs w:val="20"/>
          <w:lang w:eastAsia="cs-CZ"/>
        </w:rPr>
        <w:t xml:space="preserve"> je nezávislá mezinárodní organizace</w:t>
      </w:r>
    </w:p>
    <w:p w:rsidR="005F16C1" w:rsidRPr="00BB5DEE" w:rsidRDefault="005F16C1" w:rsidP="00BB5DEE">
      <w:pPr>
        <w:pStyle w:val="Nadpis2"/>
        <w:spacing w:before="0"/>
        <w:rPr>
          <w:rFonts w:eastAsia="Times New Roman"/>
          <w:lang w:eastAsia="cs-CZ"/>
        </w:rPr>
      </w:pPr>
      <w:r w:rsidRPr="00BB5DEE">
        <w:rPr>
          <w:rFonts w:eastAsia="Times New Roman"/>
          <w:lang w:eastAsia="cs-CZ"/>
        </w:rPr>
        <w:t>a) Evropská rada</w:t>
      </w:r>
      <w:bookmarkEnd w:id="32"/>
      <w:r w:rsidRPr="00BB5DEE">
        <w:rPr>
          <w:rFonts w:eastAsia="Times New Roman"/>
          <w:lang w:eastAsia="cs-CZ"/>
        </w:rPr>
        <w:t xml:space="preserve"> </w:t>
      </w:r>
    </w:p>
    <w:p w:rsidR="00370F57" w:rsidRDefault="00AC74EA"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Také Evropský summit je hlavním politickým orgánem EU tvořen nejvyššími představiteli členských zemí (hlav státu a předsedů vlád)</w:t>
      </w:r>
    </w:p>
    <w:p w:rsidR="00370F57" w:rsidRDefault="00AC74EA"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Schází se minimálně 2x ročně v Bruselu, popřípadě se další setkání konají v předsednické zemi Rady EU</w:t>
      </w:r>
    </w:p>
    <w:p w:rsidR="00AC74EA" w:rsidRDefault="00AC74EA"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Složení: hlavy státu, předsedové vlád, předseda Evropské komise</w:t>
      </w:r>
    </w:p>
    <w:p w:rsidR="00AC74EA" w:rsidRDefault="00AC74EA"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Funkční období není</w:t>
      </w:r>
    </w:p>
    <w:p w:rsidR="00AC74EA" w:rsidRDefault="00AC74EA"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Reprezentuje členské státy</w:t>
      </w:r>
    </w:p>
    <w:p w:rsidR="00AC74EA" w:rsidRDefault="00AC74EA"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Hlavní funkce – hledání společných postojů a formulace strategií dalšího vývoje EU</w:t>
      </w:r>
    </w:p>
    <w:p w:rsidR="00AC74EA" w:rsidRDefault="00AC74EA"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Předseda – viz výše</w:t>
      </w:r>
    </w:p>
    <w:p w:rsidR="00370F57" w:rsidRDefault="00AC74EA" w:rsidP="00AC74E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Nevykonává legislativní funkci</w:t>
      </w:r>
    </w:p>
    <w:p w:rsidR="005F16C1" w:rsidRPr="00BB5DEE" w:rsidRDefault="005F16C1" w:rsidP="00BB5DEE">
      <w:pPr>
        <w:pStyle w:val="Nadpis2"/>
        <w:spacing w:before="0"/>
        <w:rPr>
          <w:rFonts w:eastAsia="Times New Roman"/>
          <w:lang w:eastAsia="cs-CZ"/>
        </w:rPr>
      </w:pPr>
      <w:bookmarkStart w:id="33" w:name="_Toc282320147"/>
      <w:r w:rsidRPr="00BB5DEE">
        <w:rPr>
          <w:rFonts w:eastAsia="Times New Roman"/>
          <w:lang w:eastAsia="cs-CZ"/>
        </w:rPr>
        <w:t>b) Rada</w:t>
      </w:r>
      <w:bookmarkEnd w:id="33"/>
      <w:r w:rsidRPr="00BB5DEE">
        <w:rPr>
          <w:rFonts w:eastAsia="Times New Roman"/>
          <w:lang w:eastAsia="cs-CZ"/>
        </w:rPr>
        <w:t xml:space="preserve"> </w:t>
      </w:r>
      <w:r w:rsidR="00AC74EA">
        <w:rPr>
          <w:rFonts w:eastAsia="Times New Roman"/>
          <w:lang w:eastAsia="cs-CZ"/>
        </w:rPr>
        <w:t>EU</w:t>
      </w:r>
    </w:p>
    <w:p w:rsidR="00AC74EA" w:rsidRDefault="00AC74EA"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Zastupuje zájmy členských států EU a funguje na mezivládním principu (označovaná jako Rada ministrů)</w:t>
      </w:r>
    </w:p>
    <w:p w:rsidR="00370F57" w:rsidRDefault="00AC74EA"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Legislativní a výkonný orgán, který může rozhodovat o všech otázkách integrace</w:t>
      </w:r>
      <w:r w:rsidR="00370F57">
        <w:rPr>
          <w:rFonts w:eastAsia="Times New Roman" w:cstheme="minorHAnsi"/>
          <w:sz w:val="20"/>
          <w:szCs w:val="20"/>
          <w:lang w:eastAsia="cs-CZ"/>
        </w:rPr>
        <w:t>.</w:t>
      </w:r>
    </w:p>
    <w:p w:rsidR="00370F57" w:rsidRDefault="00D8121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Sídlo: Brusel, Lucemburk, některá neformální jednání se konají v předsednické zemi</w:t>
      </w:r>
    </w:p>
    <w:p w:rsidR="00D8121F" w:rsidRDefault="00D8121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Složení: ministři zodpovědní za projednávanou agendu</w:t>
      </w:r>
    </w:p>
    <w:p w:rsidR="00D8121F" w:rsidRDefault="00D8121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Funkční období není</w:t>
      </w:r>
    </w:p>
    <w:p w:rsidR="00D8121F" w:rsidRDefault="00D8121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Reprezentuje členské státy</w:t>
      </w:r>
    </w:p>
    <w:p w:rsidR="00D8121F" w:rsidRDefault="00D8121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Hlavní funkce – koordinace hospodářské politiky členských států, rozhodovací a legislativní pravomoc</w:t>
      </w:r>
    </w:p>
    <w:p w:rsidR="00D8121F" w:rsidRDefault="00D8121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Předseda – představitel předsednické země (změna á 6 měsíců)</w:t>
      </w:r>
    </w:p>
    <w:p w:rsidR="00370F57" w:rsidRDefault="00D8121F" w:rsidP="00D8121F">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Rozhoduje kvalifikovanou většinou – vážené hlasování</w:t>
      </w:r>
    </w:p>
    <w:p w:rsidR="00D8121F" w:rsidRDefault="00D8121F" w:rsidP="00D8121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Každý stát má 3 – 29 hlasů podle rozlohy, počtu obyvatel apod.</w:t>
      </w:r>
    </w:p>
    <w:p w:rsidR="00D8121F" w:rsidRDefault="00BF1F6F" w:rsidP="00D8121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Jedná-li Rada na návrh Komise </w:t>
      </w:r>
      <w:r w:rsidRPr="00BF1F6F">
        <w:rPr>
          <w:rFonts w:eastAsia="Times New Roman" w:cstheme="minorHAnsi"/>
          <w:sz w:val="20"/>
          <w:szCs w:val="20"/>
          <w:lang w:eastAsia="cs-CZ"/>
        </w:rPr>
        <w:sym w:font="Wingdings" w:char="F0E0"/>
      </w:r>
      <w:r>
        <w:rPr>
          <w:rFonts w:eastAsia="Times New Roman" w:cstheme="minorHAnsi"/>
          <w:sz w:val="20"/>
          <w:szCs w:val="20"/>
          <w:lang w:eastAsia="cs-CZ"/>
        </w:rPr>
        <w:t xml:space="preserve">potřebuje </w:t>
      </w:r>
      <w:r w:rsidRPr="00BF1F6F">
        <w:rPr>
          <w:rFonts w:eastAsia="Times New Roman" w:cstheme="minorHAnsi"/>
          <w:sz w:val="20"/>
          <w:szCs w:val="20"/>
          <w:lang w:eastAsia="cs-CZ"/>
        </w:rPr>
        <w:t>7</w:t>
      </w:r>
      <w:r>
        <w:rPr>
          <w:rFonts w:eastAsia="Times New Roman" w:cstheme="minorHAnsi"/>
          <w:sz w:val="20"/>
          <w:szCs w:val="20"/>
          <w:lang w:eastAsia="cs-CZ"/>
        </w:rPr>
        <w:t>4</w:t>
      </w:r>
      <w:r w:rsidRPr="00BF1F6F">
        <w:rPr>
          <w:rFonts w:eastAsia="Times New Roman" w:cstheme="minorHAnsi"/>
          <w:sz w:val="20"/>
          <w:szCs w:val="20"/>
          <w:lang w:eastAsia="cs-CZ"/>
        </w:rPr>
        <w:t xml:space="preserve"> % členů Rady zastupující členské státy s min 65 % obyvatel EU</w:t>
      </w:r>
    </w:p>
    <w:p w:rsidR="00BF1F6F" w:rsidRDefault="00BF1F6F" w:rsidP="00D8121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Od 1.11.2014 – 55% členských států, které zastupují 65% obyvatel EU při jednání na návrh Komise</w:t>
      </w:r>
    </w:p>
    <w:p w:rsidR="00BF1F6F" w:rsidRDefault="00BF1F6F" w:rsidP="00D8121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Jinak 72% členských států, které zastupují </w:t>
      </w:r>
      <w:r w:rsidR="00AA5622">
        <w:rPr>
          <w:rFonts w:eastAsia="Times New Roman" w:cstheme="minorHAnsi"/>
          <w:sz w:val="20"/>
          <w:szCs w:val="20"/>
          <w:lang w:eastAsia="cs-CZ"/>
        </w:rPr>
        <w:t>65% obyvatel EU</w:t>
      </w:r>
    </w:p>
    <w:p w:rsidR="00E11DD6" w:rsidRDefault="00E11DD6" w:rsidP="00E11DD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Snaha o najití konsensu před hlasováním</w:t>
      </w:r>
    </w:p>
    <w:p w:rsidR="005F16C1" w:rsidRPr="00BB5DEE" w:rsidRDefault="005F16C1" w:rsidP="00BB5DEE">
      <w:pPr>
        <w:pStyle w:val="Nadpis2"/>
        <w:spacing w:before="0"/>
        <w:rPr>
          <w:rFonts w:eastAsia="Times New Roman"/>
          <w:lang w:eastAsia="cs-CZ"/>
        </w:rPr>
      </w:pPr>
      <w:bookmarkStart w:id="34" w:name="_Toc282320148"/>
      <w:r w:rsidRPr="00BB5DEE">
        <w:rPr>
          <w:rFonts w:eastAsia="Times New Roman"/>
          <w:lang w:eastAsia="cs-CZ"/>
        </w:rPr>
        <w:t>c) Komise</w:t>
      </w:r>
      <w:bookmarkEnd w:id="34"/>
      <w:r w:rsidRPr="00BB5DEE">
        <w:rPr>
          <w:rFonts w:eastAsia="Times New Roman"/>
          <w:lang w:eastAsia="cs-CZ"/>
        </w:rPr>
        <w:t xml:space="preserve"> </w:t>
      </w:r>
    </w:p>
    <w:p w:rsidR="00370F57" w:rsidRDefault="00F32A7B"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Zastupuje mezi institucemi EU nadnárodní princip, tzn. prosazuje zájmy EU jako celku a tvoří protiváhu zájmům jednotlivých členských států</w:t>
      </w:r>
      <w:r w:rsidR="00370F57">
        <w:rPr>
          <w:rFonts w:eastAsia="Times New Roman" w:cstheme="minorHAnsi"/>
          <w:sz w:val="20"/>
          <w:szCs w:val="20"/>
          <w:lang w:eastAsia="cs-CZ"/>
        </w:rPr>
        <w:t>.</w:t>
      </w:r>
    </w:p>
    <w:p w:rsidR="00370F57" w:rsidRDefault="00F32A7B"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Sídlo: Brusel</w:t>
      </w:r>
    </w:p>
    <w:p w:rsidR="00F32A7B" w:rsidRDefault="00F32A7B"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Složení: 27 komisařů (á 1 z členské země)</w:t>
      </w:r>
    </w:p>
    <w:p w:rsidR="00F32A7B" w:rsidRDefault="00F32A7B"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Funkční období 5 let</w:t>
      </w:r>
    </w:p>
    <w:p w:rsidR="00F32A7B" w:rsidRDefault="00F32A7B"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Reprezentuje EU</w:t>
      </w:r>
    </w:p>
    <w:p w:rsidR="00F32A7B" w:rsidRDefault="00F32A7B"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Hlavní funkce – výkonná moc EU, iniciátor legislativních návrhu, podpora a rozvoj integrace</w:t>
      </w:r>
    </w:p>
    <w:p w:rsidR="00F32A7B" w:rsidRDefault="00F32A7B" w:rsidP="005513C4">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Předseda – volen Evropskou radou a schvalován Evropským parlamentem – na 5 let . José Barroso</w:t>
      </w:r>
    </w:p>
    <w:p w:rsidR="00370F57" w:rsidRDefault="005513C4"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Místopředseda je zároveň vysokým komisařem pro SZBP</w:t>
      </w:r>
    </w:p>
    <w:p w:rsidR="008123B6" w:rsidRDefault="008123B6" w:rsidP="008123B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Od 2014 bude jen 2/3 počtu členských států – obsazováni budou na základě naprosto rovné rotace</w:t>
      </w:r>
    </w:p>
    <w:p w:rsidR="008123B6" w:rsidRDefault="008123B6" w:rsidP="008123B6">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Hlavní úkoly</w:t>
      </w:r>
    </w:p>
    <w:p w:rsidR="008123B6" w:rsidRDefault="008123B6" w:rsidP="008123B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Schází se jednou týdně, pracovní jazyk angličtina, francouzština, němčina</w:t>
      </w:r>
    </w:p>
    <w:p w:rsidR="008123B6" w:rsidRDefault="008123B6" w:rsidP="008123B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Předkládá návrhy právních předpisů Evropskému parlamentu a Radě EU</w:t>
      </w:r>
    </w:p>
    <w:p w:rsidR="008123B6" w:rsidRDefault="008123B6" w:rsidP="008123B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Řídí a provádí politiky EU a plní rozpočet</w:t>
      </w:r>
    </w:p>
    <w:p w:rsidR="008123B6" w:rsidRDefault="008123B6" w:rsidP="008123B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Vymáhá zákony EU společně s SD EU</w:t>
      </w:r>
    </w:p>
    <w:p w:rsidR="008123B6" w:rsidRDefault="008123B6" w:rsidP="008123B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Zastupuje EU na mezinárodní scéně</w:t>
      </w:r>
    </w:p>
    <w:p w:rsidR="008123B6" w:rsidRDefault="008123B6" w:rsidP="008123B6">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Hlavní pravomoci</w:t>
      </w:r>
    </w:p>
    <w:p w:rsidR="008123B6" w:rsidRDefault="008123B6" w:rsidP="008123B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Výkonná pravomoc</w:t>
      </w:r>
    </w:p>
    <w:p w:rsidR="00F10BC6" w:rsidRDefault="00F10BC6" w:rsidP="00F10BC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Prostřednictvím individuálních rozhodnutí v oblasti hospodářské soutěže a obchodu</w:t>
      </w:r>
    </w:p>
    <w:p w:rsidR="00F10BC6" w:rsidRDefault="00F10BC6" w:rsidP="00F10BC6">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Podléhají schválení Radou EU nebo Evropským parlamentem</w:t>
      </w:r>
    </w:p>
    <w:p w:rsidR="00F10BC6" w:rsidRDefault="00F10BC6" w:rsidP="00F10BC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Může vydávat druhotné směrnice (výkladové)</w:t>
      </w:r>
    </w:p>
    <w:p w:rsidR="00F10BC6" w:rsidRDefault="00F10BC6" w:rsidP="00F10BC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lastRenderedPageBreak/>
        <w:t>Zákonodárná pravomoc</w:t>
      </w:r>
    </w:p>
    <w:p w:rsidR="00F10BC6" w:rsidRDefault="00F10BC6" w:rsidP="00F10BC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Výsadní právo iniciovat návrhy právních aktů EU</w:t>
      </w:r>
    </w:p>
    <w:p w:rsidR="00F10BC6" w:rsidRDefault="00F10BC6" w:rsidP="00F10BC6">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Nové normy schvaluje Rada EU a Evropský parlament</w:t>
      </w:r>
    </w:p>
    <w:p w:rsidR="00F10BC6" w:rsidRDefault="00F10BC6" w:rsidP="00F10BC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Vlastní rozhodovací pravomoc má v některých společných politikách</w:t>
      </w:r>
    </w:p>
    <w:p w:rsidR="00F10BC6" w:rsidRDefault="00F10BC6" w:rsidP="00F10BC6">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Navrhuje a spravuje společný rozpočet</w:t>
      </w:r>
    </w:p>
    <w:p w:rsidR="00F10BC6" w:rsidRDefault="00F10BC6" w:rsidP="00F10BC6">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Kontrolní pravomoc</w:t>
      </w:r>
    </w:p>
    <w:p w:rsidR="00F10BC6" w:rsidRDefault="00F10BC6" w:rsidP="00F10BC6">
      <w:pPr>
        <w:pStyle w:val="Odstavecseseznamem"/>
        <w:numPr>
          <w:ilvl w:val="2"/>
          <w:numId w:val="9"/>
        </w:numPr>
        <w:spacing w:after="0" w:line="240" w:lineRule="auto"/>
        <w:rPr>
          <w:rFonts w:eastAsia="Times New Roman" w:cstheme="minorHAnsi"/>
          <w:sz w:val="20"/>
          <w:szCs w:val="20"/>
          <w:lang w:eastAsia="cs-CZ"/>
        </w:rPr>
      </w:pPr>
      <w:r w:rsidRPr="00F10BC6">
        <w:rPr>
          <w:rFonts w:eastAsia="Times New Roman" w:cstheme="minorHAnsi"/>
          <w:sz w:val="20"/>
          <w:szCs w:val="20"/>
          <w:lang w:eastAsia="cs-CZ"/>
        </w:rPr>
        <w:t>povinnost po zjištění porušení evropského práva podat žalobu na členský stát pro nedodržování nebo nezavádění práva EU</w:t>
      </w:r>
    </w:p>
    <w:p w:rsidR="005F16C1" w:rsidRPr="00BB5DEE" w:rsidRDefault="005F16C1" w:rsidP="00BB5DEE">
      <w:pPr>
        <w:pStyle w:val="Nadpis2"/>
        <w:spacing w:before="0"/>
        <w:rPr>
          <w:rFonts w:eastAsia="Times New Roman"/>
          <w:lang w:eastAsia="cs-CZ"/>
        </w:rPr>
      </w:pPr>
      <w:bookmarkStart w:id="35" w:name="_Toc282320149"/>
      <w:r w:rsidRPr="00BB5DEE">
        <w:rPr>
          <w:rFonts w:eastAsia="Times New Roman"/>
          <w:lang w:eastAsia="cs-CZ"/>
        </w:rPr>
        <w:t>d) Evropský parlament</w:t>
      </w:r>
      <w:bookmarkEnd w:id="35"/>
      <w:r w:rsidRPr="00BB5DEE">
        <w:rPr>
          <w:rFonts w:eastAsia="Times New Roman"/>
          <w:lang w:eastAsia="cs-CZ"/>
        </w:rPr>
        <w:t xml:space="preserve"> </w:t>
      </w:r>
    </w:p>
    <w:p w:rsidR="00370F57" w:rsidRDefault="00D56B8D"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kolektivní permanentní orgán, který zastupuje zájmy obyvatel EU (tím se liší od Rady EU, která zastupuje členské státy)</w:t>
      </w:r>
    </w:p>
    <w:p w:rsidR="00370F57" w:rsidRDefault="00D56B8D"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sídlo: Štrasburk, Brusel, Lucemburk</w:t>
      </w:r>
    </w:p>
    <w:p w:rsidR="00D56B8D" w:rsidRDefault="00D56B8D"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složení: 736 europoslanců volených v přímých volbách občany EU</w:t>
      </w:r>
    </w:p>
    <w:p w:rsidR="00D56B8D" w:rsidRDefault="00D56B8D"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funkční období 5 let</w:t>
      </w:r>
    </w:p>
    <w:p w:rsidR="00D56B8D" w:rsidRDefault="00D56B8D"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zastupuje občany EU</w:t>
      </w:r>
    </w:p>
    <w:p w:rsidR="00D56B8D" w:rsidRDefault="00D56B8D"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hlavní funkce: demokratická kontrola zákonodárného procesu a výkonné moci, schvalování návrhu rozpočtu</w:t>
      </w:r>
    </w:p>
    <w:p w:rsidR="00D56B8D" w:rsidRDefault="00D56B8D"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předseda: volen na 2,5 roku – Jerzy Buzek</w:t>
      </w:r>
    </w:p>
    <w:p w:rsidR="00370F57" w:rsidRDefault="008C557B" w:rsidP="00D56B8D">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hlavní pravomoci</w:t>
      </w:r>
    </w:p>
    <w:p w:rsidR="008C557B" w:rsidRDefault="00BB3957" w:rsidP="008C557B">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legislativní pravomoc</w:t>
      </w:r>
    </w:p>
    <w:p w:rsidR="00BB3957" w:rsidRDefault="00BB3957" w:rsidP="00BB39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podílí se na přijímání všech legislativních aktů a rozpočtu</w:t>
      </w:r>
    </w:p>
    <w:p w:rsidR="00BB3957" w:rsidRDefault="00BB3957" w:rsidP="00BB3957">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vyjma aktů SZBP</w:t>
      </w:r>
    </w:p>
    <w:p w:rsidR="00BB3957" w:rsidRDefault="00BB3957" w:rsidP="00BB39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podává návrhy k volbám do EP, zahajuje proceduru revize primárního práva, může svolat Konvent</w:t>
      </w:r>
    </w:p>
    <w:p w:rsidR="00BB3957" w:rsidRDefault="00BB3957" w:rsidP="00BB39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rozpočtová pravomoc</w:t>
      </w:r>
    </w:p>
    <w:p w:rsidR="00BB3957" w:rsidRDefault="00BB3957" w:rsidP="00BB39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schvaluje rozpočet včetně finanční perspektivy</w:t>
      </w:r>
    </w:p>
    <w:p w:rsidR="00BB3957" w:rsidRDefault="00BB3957" w:rsidP="00BB39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jmenování orgánů</w:t>
      </w:r>
    </w:p>
    <w:p w:rsidR="00BB3957" w:rsidRDefault="00BB3957" w:rsidP="00BB39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 volí předsedu Komise, schvaluje a odvolává Komisi jako celek, volí ombudsmana …</w:t>
      </w:r>
    </w:p>
    <w:p w:rsidR="00BB3957" w:rsidRDefault="00BB3957" w:rsidP="00BB39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Politická kontrola – bez sankcí</w:t>
      </w:r>
    </w:p>
    <w:p w:rsidR="00BB3957" w:rsidRDefault="00BB3957" w:rsidP="00BB39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Rozpravy o aktivitách EU</w:t>
      </w:r>
    </w:p>
    <w:p w:rsidR="00BB3957" w:rsidRDefault="00BB3957" w:rsidP="00BB39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Interpelace </w:t>
      </w:r>
      <w:r w:rsidR="00396044">
        <w:rPr>
          <w:rFonts w:eastAsia="Times New Roman" w:cstheme="minorHAnsi"/>
          <w:sz w:val="20"/>
          <w:szCs w:val="20"/>
          <w:lang w:eastAsia="cs-CZ"/>
        </w:rPr>
        <w:t>–</w:t>
      </w:r>
      <w:r>
        <w:rPr>
          <w:rFonts w:eastAsia="Times New Roman" w:cstheme="minorHAnsi"/>
          <w:sz w:val="20"/>
          <w:szCs w:val="20"/>
          <w:lang w:eastAsia="cs-CZ"/>
        </w:rPr>
        <w:t xml:space="preserve"> </w:t>
      </w:r>
      <w:r w:rsidR="00396044">
        <w:rPr>
          <w:rFonts w:eastAsia="Times New Roman" w:cstheme="minorHAnsi"/>
          <w:sz w:val="20"/>
          <w:szCs w:val="20"/>
          <w:lang w:eastAsia="cs-CZ"/>
        </w:rPr>
        <w:t>Komise je povinna odpovídat na otázky, které jí kladou členové parlamentu</w:t>
      </w:r>
    </w:p>
    <w:p w:rsidR="00BB3957" w:rsidRDefault="00BB3957" w:rsidP="00BB39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Petice</w:t>
      </w:r>
      <w:r w:rsidR="00396044">
        <w:rPr>
          <w:rFonts w:eastAsia="Times New Roman" w:cstheme="minorHAnsi"/>
          <w:sz w:val="20"/>
          <w:szCs w:val="20"/>
          <w:lang w:eastAsia="cs-CZ"/>
        </w:rPr>
        <w:t xml:space="preserve"> – občané EU mají petiční právo k EP</w:t>
      </w:r>
    </w:p>
    <w:p w:rsidR="00BB3957" w:rsidRDefault="00BB3957" w:rsidP="00BB39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Intervence ombudsmana</w:t>
      </w:r>
    </w:p>
    <w:p w:rsidR="00396044" w:rsidRDefault="00396044" w:rsidP="00396044">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Politická kontrola – se sankcí</w:t>
      </w:r>
    </w:p>
    <w:p w:rsidR="00396044" w:rsidRDefault="00396044" w:rsidP="00396044">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Vyslovení nedůvěry Komisi</w:t>
      </w:r>
    </w:p>
    <w:p w:rsidR="00396044" w:rsidRDefault="00396044" w:rsidP="00396044">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Souhlas či konzultace s EP je nutná při přijímání všech vnějších smluv</w:t>
      </w:r>
    </w:p>
    <w:p w:rsidR="005F16C1" w:rsidRPr="00BB5DEE" w:rsidRDefault="005F16C1" w:rsidP="00BB5DEE">
      <w:pPr>
        <w:pStyle w:val="Nadpis2"/>
        <w:spacing w:before="0"/>
        <w:rPr>
          <w:rFonts w:eastAsia="Times New Roman"/>
          <w:lang w:eastAsia="cs-CZ"/>
        </w:rPr>
      </w:pPr>
      <w:bookmarkStart w:id="36" w:name="_Toc282320150"/>
      <w:r w:rsidRPr="00BB5DEE">
        <w:rPr>
          <w:rFonts w:eastAsia="Times New Roman"/>
          <w:lang w:eastAsia="cs-CZ"/>
        </w:rPr>
        <w:t>e) ESD</w:t>
      </w:r>
      <w:bookmarkEnd w:id="36"/>
      <w:r w:rsidRPr="00BB5DEE">
        <w:rPr>
          <w:rFonts w:eastAsia="Times New Roman"/>
          <w:lang w:eastAsia="cs-CZ"/>
        </w:rPr>
        <w:t xml:space="preserve"> </w:t>
      </w:r>
    </w:p>
    <w:p w:rsidR="00B22BFF" w:rsidRDefault="00B22BFF"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Od LS je Tribunál součástí SD EU, přejmenovaný na Soud prvního stupně</w:t>
      </w:r>
    </w:p>
    <w:p w:rsidR="00370F57" w:rsidRDefault="008872F6"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Zasedá v plénu (výjimečně), ve velkém senátu (11 soudců), v senátu (3 – 5 soudců)</w:t>
      </w:r>
    </w:p>
    <w:p w:rsidR="00370F57" w:rsidRDefault="006C154D"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Sídlo: Lucemburk</w:t>
      </w:r>
    </w:p>
    <w:p w:rsidR="006C154D" w:rsidRDefault="006C154D"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Složení: 27 soudců + 8 generálních advokátů</w:t>
      </w:r>
    </w:p>
    <w:p w:rsidR="006C154D" w:rsidRDefault="006C154D"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Funkční období 6 let</w:t>
      </w:r>
    </w:p>
    <w:p w:rsidR="006C154D" w:rsidRDefault="006C154D"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Předseda volen na 3 roky</w:t>
      </w:r>
    </w:p>
    <w:p w:rsidR="006C154D" w:rsidRDefault="006D5905"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Hlavní funkce – dohled na jednotnost výkladu a aplikace práva ES, kontrola legitimity rozhodování Rady a Komise, možnost aktivně vynutit splnění svého rozhodnutí proti státům</w:t>
      </w:r>
    </w:p>
    <w:p w:rsidR="006D5905" w:rsidRDefault="006D5905"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Obrátit se na něj může – členské státy, Komise, Evropský parlament, Rada EU, výjimečně jednotlivci</w:t>
      </w:r>
    </w:p>
    <w:p w:rsidR="00370F57" w:rsidRDefault="008872F6"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Nesporná agenda – zahrnuje řízení o předběžné otázce a řízení o vydání posudku</w:t>
      </w:r>
    </w:p>
    <w:p w:rsidR="008872F6" w:rsidRDefault="008872F6"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Sporná agenda – jediná instance (není možnost odvolání) – žaloby na porušení Smluv, rozhodčí řízení mezi členskými státy, žaloby členských států na neplatnost aktu při nečinnosti EP a Rady, spory zahájené na návrh orgánů EU a ECB na neplatnost aktu při nečinnosti EP, Komise, Rady, ECB, …</w:t>
      </w:r>
    </w:p>
    <w:p w:rsidR="005F16C1" w:rsidRPr="00BB5DEE" w:rsidRDefault="005F16C1" w:rsidP="00BB5DEE">
      <w:pPr>
        <w:pStyle w:val="Nadpis2"/>
        <w:spacing w:before="0"/>
        <w:rPr>
          <w:rFonts w:eastAsia="Times New Roman"/>
          <w:lang w:eastAsia="cs-CZ"/>
        </w:rPr>
      </w:pPr>
      <w:bookmarkStart w:id="37" w:name="_Toc282320151"/>
      <w:r w:rsidRPr="00BB5DEE">
        <w:rPr>
          <w:rFonts w:eastAsia="Times New Roman"/>
          <w:lang w:eastAsia="cs-CZ"/>
        </w:rPr>
        <w:t>f) Ostatní orgány</w:t>
      </w:r>
      <w:bookmarkEnd w:id="37"/>
      <w:r w:rsidRPr="00BB5DEE">
        <w:rPr>
          <w:rFonts w:eastAsia="Times New Roman"/>
          <w:lang w:eastAsia="cs-CZ"/>
        </w:rPr>
        <w:t xml:space="preserve"> </w:t>
      </w:r>
    </w:p>
    <w:p w:rsidR="00370F57" w:rsidRDefault="006E718A"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Evropský účetní dvůr</w:t>
      </w:r>
    </w:p>
    <w:p w:rsidR="00370F57" w:rsidRDefault="008872F6"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27 auditorů + 800 zaměstnanců</w:t>
      </w:r>
    </w:p>
    <w:p w:rsidR="00BF3516" w:rsidRDefault="00BF3516"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Posiluje nadnárodní charakter evropské integrace</w:t>
      </w:r>
    </w:p>
    <w:p w:rsidR="00BF3516" w:rsidRDefault="00BF3516"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Kontrola finančního hospodaření EU</w:t>
      </w:r>
    </w:p>
    <w:p w:rsidR="00BF3516" w:rsidRDefault="00BF3516"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Nemá exekutivní pravomoci</w:t>
      </w:r>
    </w:p>
    <w:p w:rsidR="00370F57" w:rsidRDefault="006E718A" w:rsidP="006E718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Evropský hospodářský a sociální výbor</w:t>
      </w:r>
    </w:p>
    <w:p w:rsidR="006E718A" w:rsidRDefault="00BF3516" w:rsidP="006E718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Poradní orgán EU – monitoruje fungování vnitřního trhu</w:t>
      </w:r>
    </w:p>
    <w:p w:rsidR="00BF3516" w:rsidRDefault="00BF3516" w:rsidP="006E718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Prostřednictvím stanovisek k návrhům právních předpisů a stanovisek vlastních hájí zájmy zaměstnavatelů, zaměstnanců a oblasti hospodářské, sociální a kulturní</w:t>
      </w:r>
    </w:p>
    <w:p w:rsidR="006E718A" w:rsidRDefault="006E718A" w:rsidP="006E718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Výbor regionů</w:t>
      </w:r>
    </w:p>
    <w:p w:rsidR="00BF3516" w:rsidRDefault="00BF3516" w:rsidP="006E718A">
      <w:pPr>
        <w:pStyle w:val="Odstavecseseznamem"/>
        <w:numPr>
          <w:ilvl w:val="1"/>
          <w:numId w:val="9"/>
        </w:numPr>
        <w:spacing w:after="0" w:line="240" w:lineRule="auto"/>
        <w:rPr>
          <w:rFonts w:eastAsia="Times New Roman" w:cstheme="minorHAnsi"/>
          <w:sz w:val="20"/>
          <w:szCs w:val="20"/>
          <w:lang w:eastAsia="cs-CZ"/>
        </w:rPr>
      </w:pPr>
      <w:r w:rsidRPr="00BF3516">
        <w:rPr>
          <w:rFonts w:eastAsia="Times New Roman" w:cstheme="minorHAnsi"/>
          <w:sz w:val="20"/>
          <w:szCs w:val="20"/>
          <w:lang w:eastAsia="cs-CZ"/>
        </w:rPr>
        <w:t xml:space="preserve">poradním orgánem </w:t>
      </w:r>
      <w:r>
        <w:rPr>
          <w:rFonts w:eastAsia="Times New Roman" w:cstheme="minorHAnsi"/>
          <w:sz w:val="20"/>
          <w:szCs w:val="20"/>
          <w:lang w:eastAsia="cs-CZ"/>
        </w:rPr>
        <w:t>EU</w:t>
      </w:r>
    </w:p>
    <w:p w:rsidR="00BF3516" w:rsidRDefault="00BF3516" w:rsidP="006E718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lastRenderedPageBreak/>
        <w:t xml:space="preserve">skládá se </w:t>
      </w:r>
      <w:r w:rsidRPr="00BF3516">
        <w:rPr>
          <w:rFonts w:eastAsia="Times New Roman" w:cstheme="minorHAnsi"/>
          <w:sz w:val="20"/>
          <w:szCs w:val="20"/>
          <w:lang w:eastAsia="cs-CZ"/>
        </w:rPr>
        <w:t>ze zástupců evropských regionálních a místních orgánů</w:t>
      </w:r>
    </w:p>
    <w:p w:rsidR="006E718A" w:rsidRDefault="00BF3516" w:rsidP="006E718A">
      <w:pPr>
        <w:pStyle w:val="Odstavecseseznamem"/>
        <w:numPr>
          <w:ilvl w:val="1"/>
          <w:numId w:val="9"/>
        </w:numPr>
        <w:spacing w:after="0" w:line="240" w:lineRule="auto"/>
        <w:rPr>
          <w:rFonts w:eastAsia="Times New Roman" w:cstheme="minorHAnsi"/>
          <w:sz w:val="20"/>
          <w:szCs w:val="20"/>
          <w:lang w:eastAsia="cs-CZ"/>
        </w:rPr>
      </w:pPr>
      <w:r w:rsidRPr="00BF3516">
        <w:rPr>
          <w:rFonts w:eastAsia="Times New Roman" w:cstheme="minorHAnsi"/>
          <w:sz w:val="20"/>
          <w:szCs w:val="20"/>
          <w:lang w:eastAsia="cs-CZ"/>
        </w:rPr>
        <w:t>Vyjadřuje stanoviska regionálních a místních samospráv k rozhodnutím, která se jich týkají</w:t>
      </w:r>
      <w:r>
        <w:rPr>
          <w:rFonts w:eastAsia="Times New Roman" w:cstheme="minorHAnsi"/>
          <w:sz w:val="20"/>
          <w:szCs w:val="20"/>
          <w:lang w:eastAsia="cs-CZ"/>
        </w:rPr>
        <w:t xml:space="preserve"> (</w:t>
      </w:r>
      <w:r w:rsidRPr="00BF3516">
        <w:rPr>
          <w:rFonts w:eastAsia="Times New Roman" w:cstheme="minorHAnsi"/>
          <w:sz w:val="20"/>
          <w:szCs w:val="20"/>
          <w:lang w:eastAsia="cs-CZ"/>
        </w:rPr>
        <w:t>regionální politik</w:t>
      </w:r>
      <w:r>
        <w:rPr>
          <w:rFonts w:eastAsia="Times New Roman" w:cstheme="minorHAnsi"/>
          <w:sz w:val="20"/>
          <w:szCs w:val="20"/>
          <w:lang w:eastAsia="cs-CZ"/>
        </w:rPr>
        <w:t>a</w:t>
      </w:r>
      <w:r w:rsidRPr="00BF3516">
        <w:rPr>
          <w:rFonts w:eastAsia="Times New Roman" w:cstheme="minorHAnsi"/>
          <w:sz w:val="20"/>
          <w:szCs w:val="20"/>
          <w:lang w:eastAsia="cs-CZ"/>
        </w:rPr>
        <w:t>, životní prostředí, kultur</w:t>
      </w:r>
      <w:r>
        <w:rPr>
          <w:rFonts w:eastAsia="Times New Roman" w:cstheme="minorHAnsi"/>
          <w:sz w:val="20"/>
          <w:szCs w:val="20"/>
          <w:lang w:eastAsia="cs-CZ"/>
        </w:rPr>
        <w:t>a</w:t>
      </w:r>
      <w:r w:rsidRPr="00BF3516">
        <w:rPr>
          <w:rFonts w:eastAsia="Times New Roman" w:cstheme="minorHAnsi"/>
          <w:sz w:val="20"/>
          <w:szCs w:val="20"/>
          <w:lang w:eastAsia="cs-CZ"/>
        </w:rPr>
        <w:t>, vzdělávání a doprav</w:t>
      </w:r>
      <w:r>
        <w:rPr>
          <w:rFonts w:eastAsia="Times New Roman" w:cstheme="minorHAnsi"/>
          <w:sz w:val="20"/>
          <w:szCs w:val="20"/>
          <w:lang w:eastAsia="cs-CZ"/>
        </w:rPr>
        <w:t>a</w:t>
      </w:r>
      <w:r w:rsidRPr="00BF3516">
        <w:rPr>
          <w:rFonts w:eastAsia="Times New Roman" w:cstheme="minorHAnsi"/>
          <w:sz w:val="20"/>
          <w:szCs w:val="20"/>
          <w:lang w:eastAsia="cs-CZ"/>
        </w:rPr>
        <w:t>.</w:t>
      </w:r>
      <w:r w:rsidR="006E718A">
        <w:rPr>
          <w:rFonts w:eastAsia="Times New Roman" w:cstheme="minorHAnsi"/>
          <w:sz w:val="20"/>
          <w:szCs w:val="20"/>
          <w:lang w:eastAsia="cs-CZ"/>
        </w:rPr>
        <w:t>..</w:t>
      </w:r>
    </w:p>
    <w:p w:rsidR="006E718A" w:rsidRDefault="006E718A" w:rsidP="006E718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Evropská centrální banka</w:t>
      </w:r>
    </w:p>
    <w:p w:rsidR="006E718A" w:rsidRDefault="008D6888" w:rsidP="006E718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Zabezpečuje jednotnou měnovou politiku zemí EMU</w:t>
      </w:r>
    </w:p>
    <w:p w:rsidR="008D6888" w:rsidRDefault="008D6888" w:rsidP="006E718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Založena společně s Evropským systémem centrálních  bank (pro země bez Eura)</w:t>
      </w:r>
    </w:p>
    <w:p w:rsidR="006E718A" w:rsidRDefault="006E718A" w:rsidP="006E718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Evropská investiční banka</w:t>
      </w:r>
    </w:p>
    <w:p w:rsidR="006E718A" w:rsidRDefault="006E718A" w:rsidP="006E718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Evropský veřejný ochránce práv</w:t>
      </w:r>
    </w:p>
    <w:p w:rsidR="006E718A" w:rsidRDefault="006E718A" w:rsidP="006E718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Evropský inspektor ochrany údajů</w:t>
      </w:r>
    </w:p>
    <w:p w:rsidR="005F16C1" w:rsidRPr="009C50F4" w:rsidRDefault="005F16C1" w:rsidP="009C50F4">
      <w:pPr>
        <w:spacing w:after="0" w:line="240" w:lineRule="auto"/>
        <w:rPr>
          <w:rFonts w:eastAsia="Times New Roman" w:cstheme="minorHAnsi"/>
          <w:sz w:val="20"/>
          <w:szCs w:val="20"/>
          <w:lang w:eastAsia="cs-CZ"/>
        </w:rPr>
      </w:pPr>
      <w:r w:rsidRPr="009C50F4">
        <w:rPr>
          <w:rFonts w:eastAsia="Times New Roman" w:cstheme="minorHAnsi"/>
          <w:sz w:val="20"/>
          <w:szCs w:val="20"/>
          <w:lang w:eastAsia="cs-CZ"/>
        </w:rPr>
        <w:br w:type="page"/>
      </w:r>
    </w:p>
    <w:p w:rsidR="005F16C1" w:rsidRPr="00BB5DEE" w:rsidRDefault="005F16C1" w:rsidP="00BB5DEE">
      <w:pPr>
        <w:pStyle w:val="Nadpis1"/>
        <w:rPr>
          <w:rFonts w:eastAsia="Times New Roman"/>
          <w:lang w:eastAsia="cs-CZ"/>
        </w:rPr>
      </w:pPr>
      <w:bookmarkStart w:id="38" w:name="_Toc282320152"/>
      <w:r w:rsidRPr="00BB5DEE">
        <w:rPr>
          <w:rFonts w:eastAsia="Times New Roman"/>
          <w:lang w:eastAsia="cs-CZ"/>
        </w:rPr>
        <w:lastRenderedPageBreak/>
        <w:t>8. Legislativní proces v EU</w:t>
      </w:r>
      <w:bookmarkEnd w:id="38"/>
      <w:r w:rsidRPr="00BB5DEE">
        <w:rPr>
          <w:rFonts w:eastAsia="Times New Roman"/>
          <w:lang w:eastAsia="cs-CZ"/>
        </w:rPr>
        <w:t xml:space="preserve"> </w:t>
      </w:r>
    </w:p>
    <w:p w:rsidR="00F573BA" w:rsidRPr="00F573BA" w:rsidRDefault="00F573BA" w:rsidP="00F573BA">
      <w:pPr>
        <w:pStyle w:val="Odstavecseseznamem"/>
        <w:numPr>
          <w:ilvl w:val="0"/>
          <w:numId w:val="9"/>
        </w:numPr>
        <w:spacing w:after="0" w:line="240" w:lineRule="auto"/>
        <w:rPr>
          <w:rFonts w:eastAsia="Times New Roman" w:cstheme="minorHAnsi"/>
          <w:sz w:val="20"/>
          <w:szCs w:val="20"/>
          <w:lang w:eastAsia="cs-CZ"/>
        </w:rPr>
      </w:pPr>
      <w:bookmarkStart w:id="39" w:name="_Toc282320153"/>
      <w:r>
        <w:rPr>
          <w:rFonts w:eastAsia="Times New Roman" w:cstheme="minorHAnsi"/>
          <w:sz w:val="20"/>
          <w:szCs w:val="20"/>
          <w:lang w:eastAsia="cs-CZ"/>
        </w:rPr>
        <w:t>Postup přijímání právně závazných sekundárních legislativních aktů (nařízení, směrnice, rozhodnutí) na základě Smluv</w:t>
      </w:r>
    </w:p>
    <w:p w:rsidR="005F16C1" w:rsidRPr="00BB5DEE" w:rsidRDefault="005F16C1" w:rsidP="00BB5DEE">
      <w:pPr>
        <w:pStyle w:val="Nadpis2"/>
        <w:spacing w:before="0"/>
        <w:rPr>
          <w:rFonts w:eastAsia="Times New Roman"/>
          <w:lang w:eastAsia="cs-CZ"/>
        </w:rPr>
      </w:pPr>
      <w:r w:rsidRPr="00BB5DEE">
        <w:rPr>
          <w:rFonts w:eastAsia="Times New Roman"/>
          <w:lang w:eastAsia="cs-CZ"/>
        </w:rPr>
        <w:t>a) řádný legislativní postup</w:t>
      </w:r>
      <w:bookmarkEnd w:id="39"/>
      <w:r w:rsidRPr="00BB5DEE">
        <w:rPr>
          <w:rFonts w:eastAsia="Times New Roman"/>
          <w:lang w:eastAsia="cs-CZ"/>
        </w:rPr>
        <w:t xml:space="preserve"> </w:t>
      </w:r>
    </w:p>
    <w:p w:rsidR="00370F57" w:rsidRDefault="00F573BA"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Rada přijímá akty společně s Evropským parlamentem na návrh Komise</w:t>
      </w:r>
    </w:p>
    <w:p w:rsidR="008735A3" w:rsidRDefault="008735A3"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Přijetí kvalifikovanou většinou</w:t>
      </w:r>
    </w:p>
    <w:p w:rsidR="00370F57" w:rsidRDefault="00F573BA"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Návrh</w:t>
      </w:r>
    </w:p>
    <w:p w:rsidR="00370F57" w:rsidRDefault="00F573BA"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Podává Komise (výjimečně ESD, EP, ECB, skupina států)</w:t>
      </w:r>
    </w:p>
    <w:p w:rsidR="00F573BA" w:rsidRDefault="00F573BA" w:rsidP="00F573B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Rada může jednomyslně změnit návrh, ne však v jeho podstatě</w:t>
      </w:r>
    </w:p>
    <w:p w:rsidR="00F573BA" w:rsidRDefault="00F573BA" w:rsidP="00F573BA">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Návrh se předkládá Radě, EP a národním parlamentům</w:t>
      </w:r>
    </w:p>
    <w:p w:rsidR="001036BD" w:rsidRDefault="001036BD" w:rsidP="001036BD">
      <w:pPr>
        <w:pStyle w:val="Odstavecseseznamem"/>
        <w:numPr>
          <w:ilvl w:val="4"/>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Posoudí dodržení principu subsidiarity</w:t>
      </w:r>
    </w:p>
    <w:p w:rsidR="001036BD" w:rsidRDefault="001036BD" w:rsidP="001036BD">
      <w:pPr>
        <w:pStyle w:val="Odstavecseseznamem"/>
        <w:numPr>
          <w:ilvl w:val="5"/>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Žlutá karta – 1/3 se domnívá, že návrh odporuje principu subsidiarity – návrh se musí přezkoumat</w:t>
      </w:r>
    </w:p>
    <w:p w:rsidR="001036BD" w:rsidRDefault="001036BD" w:rsidP="001036BD">
      <w:pPr>
        <w:pStyle w:val="Odstavecseseznamem"/>
        <w:numPr>
          <w:ilvl w:val="5"/>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Oranžová karta – ½ všech států dala žlutou kartu – návrh se zašle EP a Radě a ti rozhodnou o zastavení nebo ponechání</w:t>
      </w:r>
    </w:p>
    <w:p w:rsidR="001036BD" w:rsidRDefault="001036BD" w:rsidP="001036BD">
      <w:pPr>
        <w:pStyle w:val="Odstavecseseznamem"/>
        <w:numPr>
          <w:ilvl w:val="5"/>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Červená karta – vnitrostátní parlament zablokuje </w:t>
      </w:r>
      <w:r w:rsidR="0068287B">
        <w:rPr>
          <w:rFonts w:eastAsia="Times New Roman" w:cstheme="minorHAnsi"/>
          <w:sz w:val="20"/>
          <w:szCs w:val="20"/>
          <w:lang w:eastAsia="cs-CZ"/>
        </w:rPr>
        <w:t>použití obecné passarelly</w:t>
      </w:r>
    </w:p>
    <w:p w:rsidR="0068287B" w:rsidRDefault="0068287B" w:rsidP="0068287B">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1. Čtení</w:t>
      </w:r>
    </w:p>
    <w:p w:rsidR="0068287B" w:rsidRDefault="0068287B" w:rsidP="0068287B">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EP zaujme k návrhu postoj a postoupí ho Radě</w:t>
      </w:r>
    </w:p>
    <w:p w:rsidR="0068287B" w:rsidRDefault="0068287B" w:rsidP="0068287B">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Rada návrh schválí x neschválí a postoupí k 2. Čtení</w:t>
      </w:r>
    </w:p>
    <w:p w:rsidR="0068287B" w:rsidRDefault="0068287B" w:rsidP="0068287B">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2. Čtení</w:t>
      </w:r>
    </w:p>
    <w:p w:rsidR="0068287B" w:rsidRDefault="0068287B" w:rsidP="0068287B">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EP prostou většinou návrh schválí – přijato</w:t>
      </w:r>
    </w:p>
    <w:p w:rsidR="0068287B" w:rsidRDefault="0068287B" w:rsidP="0068287B">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Absolutní většinou odmítne – nepřijato</w:t>
      </w:r>
    </w:p>
    <w:p w:rsidR="0068287B" w:rsidRDefault="0068287B" w:rsidP="0068287B">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Absolutní většinou navrhne změny – v 1. Čtení jsou přijaty – přijato</w:t>
      </w:r>
    </w:p>
    <w:p w:rsidR="0068287B" w:rsidRDefault="0068287B" w:rsidP="0068287B">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Dohadovací postup</w:t>
      </w:r>
    </w:p>
    <w:p w:rsidR="0068287B" w:rsidRDefault="001E5291" w:rsidP="0068287B">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Předseda Rady a předseda EP svolají dohadovací výbor</w:t>
      </w:r>
    </w:p>
    <w:p w:rsidR="001E5291" w:rsidRDefault="001E5291" w:rsidP="001E5291">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3. Čtení</w:t>
      </w:r>
    </w:p>
    <w:p w:rsidR="001E5291" w:rsidRDefault="001E5291" w:rsidP="001E5291">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Akt je přijat – EP schválí prostou většinou, Rada kvalifikovanou</w:t>
      </w:r>
    </w:p>
    <w:p w:rsidR="001E5291" w:rsidRDefault="001E5291" w:rsidP="001E5291">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Akty podepisuje předseda EP, předseda Rady, vyhlašují se v Úředním věstníku EU, vstupují v platnost, který je v nich uveden, nejpozději 20 dnů po vyhlášení</w:t>
      </w:r>
    </w:p>
    <w:p w:rsidR="005F16C1" w:rsidRPr="00BB5DEE" w:rsidRDefault="005F16C1" w:rsidP="00BB5DEE">
      <w:pPr>
        <w:pStyle w:val="Nadpis2"/>
        <w:spacing w:before="0"/>
        <w:rPr>
          <w:rFonts w:eastAsia="Times New Roman"/>
          <w:lang w:eastAsia="cs-CZ"/>
        </w:rPr>
      </w:pPr>
      <w:bookmarkStart w:id="40" w:name="_Toc282320154"/>
      <w:r w:rsidRPr="00BB5DEE">
        <w:rPr>
          <w:rFonts w:eastAsia="Times New Roman"/>
          <w:lang w:eastAsia="cs-CZ"/>
        </w:rPr>
        <w:t>b) zvláštní legislativní postup</w:t>
      </w:r>
      <w:bookmarkEnd w:id="40"/>
      <w:r w:rsidRPr="00BB5DEE">
        <w:rPr>
          <w:rFonts w:eastAsia="Times New Roman"/>
          <w:lang w:eastAsia="cs-CZ"/>
        </w:rPr>
        <w:t xml:space="preserve"> </w:t>
      </w:r>
    </w:p>
    <w:p w:rsidR="00370F57" w:rsidRDefault="00585F3C"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Sběrná kategorie – to, co není přijato řádným postupem</w:t>
      </w:r>
    </w:p>
    <w:p w:rsidR="00370F57" w:rsidRDefault="00585F3C"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Akt přijímá EP za účasti Rady a naopak</w:t>
      </w:r>
    </w:p>
    <w:p w:rsidR="00585F3C" w:rsidRDefault="00585F3C"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Postup se pozná podle formulace typu „Rada…. Zvláštním legislativním postupem …“</w:t>
      </w:r>
    </w:p>
    <w:p w:rsidR="00370F57" w:rsidRDefault="00585F3C"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Akty podepisuje předseda orgánu, který jej vydal</w:t>
      </w:r>
    </w:p>
    <w:p w:rsidR="00585F3C" w:rsidRDefault="00585F3C" w:rsidP="00585F3C">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Uplatňují se ve výjimečných případech, tzv. konzultacích</w:t>
      </w:r>
    </w:p>
    <w:p w:rsidR="008735A3" w:rsidRDefault="008735A3" w:rsidP="00585F3C">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Přijetí jednomyslně</w:t>
      </w:r>
    </w:p>
    <w:p w:rsidR="005F16C1" w:rsidRPr="009C50F4" w:rsidRDefault="005F16C1" w:rsidP="009C50F4">
      <w:pPr>
        <w:spacing w:after="0" w:line="240" w:lineRule="auto"/>
        <w:rPr>
          <w:rFonts w:eastAsia="Times New Roman" w:cstheme="minorHAnsi"/>
          <w:sz w:val="20"/>
          <w:szCs w:val="20"/>
          <w:lang w:eastAsia="cs-CZ"/>
        </w:rPr>
      </w:pPr>
      <w:r w:rsidRPr="009C50F4">
        <w:rPr>
          <w:rFonts w:eastAsia="Times New Roman" w:cstheme="minorHAnsi"/>
          <w:sz w:val="20"/>
          <w:szCs w:val="20"/>
          <w:lang w:eastAsia="cs-CZ"/>
        </w:rPr>
        <w:br w:type="page"/>
      </w:r>
    </w:p>
    <w:p w:rsidR="005F16C1" w:rsidRPr="00BB5DEE" w:rsidRDefault="005F16C1" w:rsidP="00BB5DEE">
      <w:pPr>
        <w:pStyle w:val="Nadpis1"/>
        <w:rPr>
          <w:rFonts w:eastAsia="Times New Roman"/>
          <w:lang w:eastAsia="cs-CZ"/>
        </w:rPr>
      </w:pPr>
      <w:bookmarkStart w:id="41" w:name="_Toc282320155"/>
      <w:r w:rsidRPr="00BB5DEE">
        <w:rPr>
          <w:rFonts w:eastAsia="Times New Roman"/>
          <w:lang w:eastAsia="cs-CZ"/>
        </w:rPr>
        <w:lastRenderedPageBreak/>
        <w:t>9. Základní druhy řízení před ESD</w:t>
      </w:r>
      <w:bookmarkEnd w:id="41"/>
      <w:r w:rsidRPr="00BB5DEE">
        <w:rPr>
          <w:rFonts w:eastAsia="Times New Roman"/>
          <w:lang w:eastAsia="cs-CZ"/>
        </w:rPr>
        <w:t xml:space="preserve"> </w:t>
      </w:r>
    </w:p>
    <w:p w:rsidR="005F16C1" w:rsidRPr="00BB5DEE" w:rsidRDefault="005F16C1" w:rsidP="00BB5DEE">
      <w:pPr>
        <w:pStyle w:val="Nadpis2"/>
        <w:spacing w:before="0"/>
        <w:rPr>
          <w:rFonts w:eastAsia="Times New Roman"/>
          <w:lang w:eastAsia="cs-CZ"/>
        </w:rPr>
      </w:pPr>
      <w:bookmarkStart w:id="42" w:name="_Toc282320156"/>
      <w:r w:rsidRPr="00BB5DEE">
        <w:rPr>
          <w:rFonts w:eastAsia="Times New Roman"/>
          <w:lang w:eastAsia="cs-CZ"/>
        </w:rPr>
        <w:t>a) řízení o žalobě pro nesplnění povinnosti</w:t>
      </w:r>
      <w:bookmarkEnd w:id="42"/>
      <w:r w:rsidRPr="00BB5DEE">
        <w:rPr>
          <w:rFonts w:eastAsia="Times New Roman"/>
          <w:lang w:eastAsia="cs-CZ"/>
        </w:rPr>
        <w:t xml:space="preserve"> </w:t>
      </w:r>
    </w:p>
    <w:p w:rsidR="00370F57" w:rsidRDefault="008C2EFF"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Tzv. žaloba na nečinnost</w:t>
      </w:r>
      <w:r w:rsidR="00370F57">
        <w:rPr>
          <w:rFonts w:eastAsia="Times New Roman" w:cstheme="minorHAnsi"/>
          <w:sz w:val="20"/>
          <w:szCs w:val="20"/>
          <w:lang w:eastAsia="cs-CZ"/>
        </w:rPr>
        <w:t>.</w:t>
      </w:r>
    </w:p>
    <w:p w:rsidR="00370F57" w:rsidRDefault="008C2EF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Umožňuje přezkoumávat legitimitu nečinnosti orgánů a institucí EU</w:t>
      </w:r>
    </w:p>
    <w:p w:rsidR="00370F57" w:rsidRDefault="008C2EFF"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Nečinnosti ER, Rady EU, Komise, ECB…</w:t>
      </w:r>
    </w:p>
    <w:p w:rsidR="008C2EFF" w:rsidRDefault="008C2EFF" w:rsidP="008C2EF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Žalobu mohou podat členské státy a orgány EU</w:t>
      </w:r>
    </w:p>
    <w:p w:rsidR="005F16C1" w:rsidRPr="00BB5DEE" w:rsidRDefault="005F16C1" w:rsidP="00BB5DEE">
      <w:pPr>
        <w:pStyle w:val="Nadpis2"/>
        <w:spacing w:before="0"/>
        <w:rPr>
          <w:rFonts w:eastAsia="Times New Roman"/>
          <w:lang w:eastAsia="cs-CZ"/>
        </w:rPr>
      </w:pPr>
      <w:bookmarkStart w:id="43" w:name="_Toc282320157"/>
      <w:r w:rsidRPr="00BB5DEE">
        <w:rPr>
          <w:rFonts w:eastAsia="Times New Roman"/>
          <w:lang w:eastAsia="cs-CZ"/>
        </w:rPr>
        <w:t>b) řízení o žalobě na neplatnost</w:t>
      </w:r>
      <w:bookmarkEnd w:id="43"/>
      <w:r w:rsidRPr="00BB5DEE">
        <w:rPr>
          <w:rFonts w:eastAsia="Times New Roman"/>
          <w:lang w:eastAsia="cs-CZ"/>
        </w:rPr>
        <w:t xml:space="preserve"> </w:t>
      </w:r>
    </w:p>
    <w:p w:rsidR="00815DE2" w:rsidRDefault="00815DE2"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Sekundární normy jsou považovány za platné, pokud se neprokáže prostřednictvím SD EU opak</w:t>
      </w:r>
    </w:p>
    <w:p w:rsidR="00370F57" w:rsidRDefault="00B22BFF" w:rsidP="00B22BFF">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Předmětem jsou právně závazné normy</w:t>
      </w:r>
    </w:p>
    <w:p w:rsidR="00370F57" w:rsidRDefault="00B22BF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Nepříslušnost - právní akt byl vydán orgánem, který k tomu nebyl oprávněn</w:t>
      </w:r>
    </w:p>
    <w:p w:rsidR="00B22BFF" w:rsidRDefault="00B22BF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Porušení podstatných formálních náležitostí</w:t>
      </w:r>
    </w:p>
    <w:p w:rsidR="00B22BFF" w:rsidRDefault="00B22BF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Porušení Smluv nebo pravid</w:t>
      </w:r>
      <w:r w:rsidR="001E50A8">
        <w:rPr>
          <w:rFonts w:eastAsia="Times New Roman" w:cstheme="minorHAnsi"/>
          <w:sz w:val="20"/>
          <w:szCs w:val="20"/>
          <w:lang w:eastAsia="cs-CZ"/>
        </w:rPr>
        <w:t>el týkajících se jejich provádění</w:t>
      </w:r>
    </w:p>
    <w:p w:rsidR="001E50A8" w:rsidRDefault="001E50A8"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Zneužití pravomoci či volného uvážení</w:t>
      </w:r>
    </w:p>
    <w:p w:rsidR="005F16C1" w:rsidRPr="00BB5DEE" w:rsidRDefault="005F16C1" w:rsidP="00BB5DEE">
      <w:pPr>
        <w:pStyle w:val="Nadpis2"/>
        <w:spacing w:before="0"/>
        <w:rPr>
          <w:rFonts w:eastAsia="Times New Roman"/>
          <w:lang w:eastAsia="cs-CZ"/>
        </w:rPr>
      </w:pPr>
      <w:bookmarkStart w:id="44" w:name="_Toc282320158"/>
      <w:r w:rsidRPr="00BB5DEE">
        <w:rPr>
          <w:rFonts w:eastAsia="Times New Roman"/>
          <w:lang w:eastAsia="cs-CZ"/>
        </w:rPr>
        <w:t>c) řízení o předběžné otázce</w:t>
      </w:r>
      <w:bookmarkEnd w:id="44"/>
      <w:r w:rsidRPr="00BB5DEE">
        <w:rPr>
          <w:rFonts w:eastAsia="Times New Roman"/>
          <w:lang w:eastAsia="cs-CZ"/>
        </w:rPr>
        <w:t xml:space="preserve"> </w:t>
      </w:r>
    </w:p>
    <w:p w:rsidR="00370F57" w:rsidRDefault="005900DD"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Prejudiciální otázka – speciální institut práva EU, jehož cílem je zajistit správnou a jednotnou interpretaci</w:t>
      </w:r>
    </w:p>
    <w:p w:rsidR="00370F57" w:rsidRDefault="005900DD"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Soudnímu dvoru náleží vydávat prejudiciální rozhodnutí</w:t>
      </w:r>
    </w:p>
    <w:p w:rsidR="00370F57" w:rsidRDefault="005900DD"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Týkající se výkladu Smluv</w:t>
      </w:r>
    </w:p>
    <w:p w:rsidR="005900DD" w:rsidRDefault="005900DD"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Týkající se platnosti a výkladu aktů orgánů EU (sekundárního práva)</w:t>
      </w:r>
    </w:p>
    <w:p w:rsidR="005900DD" w:rsidRDefault="005900DD"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Týkající se výkladu států orgánů zřízených aktem Rady</w:t>
      </w:r>
    </w:p>
    <w:p w:rsidR="005900DD" w:rsidRDefault="005900DD" w:rsidP="005900DD">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Je-li otázka vznesena v řízení před jakýmkoli soudním orgánem členského státu a je-li </w:t>
      </w:r>
      <w:r w:rsidR="00DE753E">
        <w:rPr>
          <w:rFonts w:eastAsia="Times New Roman" w:cstheme="minorHAnsi"/>
          <w:sz w:val="20"/>
          <w:szCs w:val="20"/>
          <w:lang w:eastAsia="cs-CZ"/>
        </w:rPr>
        <w:t>prejudiciální rozhodnutí nutné pro vynesení národního rozsudku</w:t>
      </w:r>
    </w:p>
    <w:p w:rsidR="00DE753E" w:rsidRDefault="00DE753E" w:rsidP="005900DD">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Je-li otázka vznesena v neukončeném řízení před soudním orgánem členského státu, jehož rozhodnutí nelze napadnout opravným prostředkem, je tento soudní orgán povinen předložit věc Soudnímu dvoru</w:t>
      </w:r>
    </w:p>
    <w:p w:rsidR="00DE753E" w:rsidRDefault="00DE753E" w:rsidP="005900DD">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Nepřípustné:</w:t>
      </w:r>
    </w:p>
    <w:p w:rsidR="00DE753E" w:rsidRDefault="00DE753E" w:rsidP="00DE753E">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Předmětem není ani výklad ani platnost práva EU</w:t>
      </w:r>
    </w:p>
    <w:p w:rsidR="00DE753E" w:rsidRDefault="00DE753E" w:rsidP="00DE753E">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Nedostatek faktické spojitosti s předmětem sporu v hlavním řízení</w:t>
      </w:r>
    </w:p>
    <w:p w:rsidR="00DE753E" w:rsidRDefault="00DE753E" w:rsidP="00DE753E">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Spor v hlavním líčení je fiktivní – vykonstruovaný za účelem získání odpovědi od SD</w:t>
      </w:r>
    </w:p>
    <w:p w:rsidR="00DE753E" w:rsidRDefault="00DE753E" w:rsidP="00DE753E">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Žádost nesplňuje obsahové náležitosti</w:t>
      </w:r>
    </w:p>
    <w:p w:rsidR="005F16C1" w:rsidRPr="009C50F4" w:rsidRDefault="005F16C1" w:rsidP="009C50F4">
      <w:pPr>
        <w:spacing w:after="0" w:line="240" w:lineRule="auto"/>
        <w:rPr>
          <w:rFonts w:eastAsia="Times New Roman" w:cstheme="minorHAnsi"/>
          <w:sz w:val="20"/>
          <w:szCs w:val="20"/>
          <w:lang w:eastAsia="cs-CZ"/>
        </w:rPr>
      </w:pPr>
      <w:r w:rsidRPr="009C50F4">
        <w:rPr>
          <w:rFonts w:eastAsia="Times New Roman" w:cstheme="minorHAnsi"/>
          <w:sz w:val="20"/>
          <w:szCs w:val="20"/>
          <w:lang w:eastAsia="cs-CZ"/>
        </w:rPr>
        <w:br w:type="page"/>
      </w:r>
    </w:p>
    <w:p w:rsidR="005F16C1" w:rsidRPr="00BB5DEE" w:rsidRDefault="005F16C1" w:rsidP="00BB5DEE">
      <w:pPr>
        <w:pStyle w:val="Nadpis1"/>
        <w:rPr>
          <w:rFonts w:eastAsia="Times New Roman"/>
          <w:lang w:eastAsia="cs-CZ"/>
        </w:rPr>
      </w:pPr>
      <w:bookmarkStart w:id="45" w:name="_Toc282320159"/>
      <w:r w:rsidRPr="00BB5DEE">
        <w:rPr>
          <w:rFonts w:eastAsia="Times New Roman"/>
          <w:lang w:eastAsia="cs-CZ"/>
        </w:rPr>
        <w:lastRenderedPageBreak/>
        <w:t>10. Rozpočet EU</w:t>
      </w:r>
      <w:bookmarkEnd w:id="45"/>
      <w:r w:rsidRPr="00BB5DEE">
        <w:rPr>
          <w:rFonts w:eastAsia="Times New Roman"/>
          <w:lang w:eastAsia="cs-CZ"/>
        </w:rPr>
        <w:t xml:space="preserve"> </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bookmarkStart w:id="46" w:name="_Toc282320160"/>
      <w:r w:rsidRPr="00B47578">
        <w:rPr>
          <w:rFonts w:eastAsia="Times New Roman" w:cstheme="minorHAnsi"/>
          <w:sz w:val="20"/>
          <w:szCs w:val="20"/>
          <w:lang w:eastAsia="cs-CZ"/>
        </w:rPr>
        <w:t>Rozpočet EU je hlavním nástrojem fiskální politiky, hlavní finanční nástroj.</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Slouží k dosažení a vyplnění strategií a cílů EU. Musí být vždy vyrovnaný, nepřipouští se rozpočtové deficity.</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 xml:space="preserve">Rozpočet EU je sestavován na základě rozpočtových zásad uvedených v nařízení Rady (ES, Euratom) č. 1605/2002, kterým se stanoví finanční nařízení o souhrnném rozpočtu ES (Evropského společenství). </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Roční rozpočty nesmí přesáhnout stropy, které jsou stanovené Finanční perspektivou (2007 – 2013) = víceletý finanční rámec</w:t>
      </w:r>
    </w:p>
    <w:p w:rsidR="005F16C1" w:rsidRPr="00BB5DEE" w:rsidRDefault="005F16C1" w:rsidP="00BB5DEE">
      <w:pPr>
        <w:pStyle w:val="Nadpis2"/>
        <w:spacing w:before="0"/>
        <w:rPr>
          <w:rFonts w:eastAsia="Times New Roman"/>
          <w:lang w:eastAsia="cs-CZ"/>
        </w:rPr>
      </w:pPr>
      <w:r w:rsidRPr="00BB5DEE">
        <w:rPr>
          <w:rFonts w:eastAsia="Times New Roman"/>
          <w:lang w:eastAsia="cs-CZ"/>
        </w:rPr>
        <w:t>a) rozpočtové zdroje</w:t>
      </w:r>
      <w:bookmarkEnd w:id="46"/>
      <w:r w:rsidRPr="00BB5DEE">
        <w:rPr>
          <w:rFonts w:eastAsia="Times New Roman"/>
          <w:lang w:eastAsia="cs-CZ"/>
        </w:rPr>
        <w:t xml:space="preserve"> </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tzv. tradiční vlastní zdroje – zemědělské poplatky a dávky z cukru (poplatky a cla na dovážené zemědělské výrobky a cukr z nečlenských států EU)</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daně z přidané hodnoty – podíl na vybrané DPH daného členského státu</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dodatečné příjmy odvozené z HDP – tzv. dodatečný zdroj (jsou odvozeny ze sumy HDP všech členských států s využitím sazby, která je každoročně pevně stanovena v rámci rozpočtové procedury)</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ostatní – poplatky vztahující se k fungování hospodářského prostoru, poplatky za administrativní činnost institucí, daně z příjmu zaměstnanců institucí ES, pokuty, přebytek rozpočtu z předchozího roku atd.</w:t>
      </w:r>
    </w:p>
    <w:p w:rsidR="005F16C1" w:rsidRPr="00BB5DEE" w:rsidRDefault="005F16C1" w:rsidP="00BB5DEE">
      <w:pPr>
        <w:pStyle w:val="Nadpis2"/>
        <w:spacing w:before="0"/>
        <w:rPr>
          <w:rFonts w:eastAsia="Times New Roman"/>
          <w:lang w:eastAsia="cs-CZ"/>
        </w:rPr>
      </w:pPr>
      <w:bookmarkStart w:id="47" w:name="_Toc282320161"/>
      <w:r w:rsidRPr="00BB5DEE">
        <w:rPr>
          <w:rFonts w:eastAsia="Times New Roman"/>
          <w:lang w:eastAsia="cs-CZ"/>
        </w:rPr>
        <w:t>b) rozpočtové výdaje</w:t>
      </w:r>
      <w:bookmarkEnd w:id="47"/>
      <w:r w:rsidRPr="00BB5DEE">
        <w:rPr>
          <w:rFonts w:eastAsia="Times New Roman"/>
          <w:lang w:eastAsia="cs-CZ"/>
        </w:rPr>
        <w:t xml:space="preserve"> </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administrativní – platy zaměstnanců institucí, provozní a investiční výdaje institucí EU</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výdaje na financování společné politiky (výdaje na zemědělství) a rozvojových programů EU (výdaje ze strukturálních fondů a Kohezního fondu včetně Fondu solidarity)</w:t>
      </w:r>
    </w:p>
    <w:p w:rsidR="00B47578" w:rsidRPr="00B47578" w:rsidRDefault="00B47578" w:rsidP="00B47578">
      <w:pPr>
        <w:pStyle w:val="Odstavecseseznamem"/>
        <w:numPr>
          <w:ilvl w:val="1"/>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udržitelný růst 64,3 mld Eur</w:t>
      </w:r>
    </w:p>
    <w:p w:rsidR="00B47578" w:rsidRPr="00B47578" w:rsidRDefault="00B47578" w:rsidP="00B47578">
      <w:pPr>
        <w:pStyle w:val="Odstavecseseznamem"/>
        <w:numPr>
          <w:ilvl w:val="1"/>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ochrana a správné hospodaření s přírodními zdroji 59,5 mld Eur</w:t>
      </w:r>
    </w:p>
    <w:p w:rsidR="00B47578" w:rsidRPr="00B47578" w:rsidRDefault="00B47578" w:rsidP="00B47578">
      <w:pPr>
        <w:pStyle w:val="Odstavecseseznamem"/>
        <w:numPr>
          <w:ilvl w:val="1"/>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občanství, svoboda, bezpečnost a právo  (1,7 mld Eur)</w:t>
      </w:r>
    </w:p>
    <w:p w:rsidR="00B47578" w:rsidRPr="00B47578" w:rsidRDefault="00B47578" w:rsidP="00B47578">
      <w:pPr>
        <w:pStyle w:val="Odstavecseseznamem"/>
        <w:numPr>
          <w:ilvl w:val="1"/>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spolupráce se třetími zeměmi - EU jako globální partner (8,1 mld Eur)</w:t>
      </w:r>
    </w:p>
    <w:p w:rsidR="00B47578" w:rsidRPr="00B47578" w:rsidRDefault="00B47578" w:rsidP="00B47578">
      <w:pPr>
        <w:pStyle w:val="Odstavecseseznamem"/>
        <w:numPr>
          <w:ilvl w:val="1"/>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administrativa 7,9 mld Eur</w:t>
      </w:r>
    </w:p>
    <w:p w:rsidR="005F16C1" w:rsidRPr="00BB5DEE" w:rsidRDefault="005F16C1" w:rsidP="00BB5DEE">
      <w:pPr>
        <w:pStyle w:val="Nadpis2"/>
        <w:spacing w:before="0"/>
        <w:rPr>
          <w:rFonts w:eastAsia="Times New Roman"/>
          <w:lang w:eastAsia="cs-CZ"/>
        </w:rPr>
      </w:pPr>
      <w:bookmarkStart w:id="48" w:name="_Toc282320162"/>
      <w:r w:rsidRPr="00BB5DEE">
        <w:rPr>
          <w:rFonts w:eastAsia="Times New Roman"/>
          <w:lang w:eastAsia="cs-CZ"/>
        </w:rPr>
        <w:t>c) schvalování rozpočtu</w:t>
      </w:r>
      <w:bookmarkEnd w:id="48"/>
      <w:r w:rsidRPr="00BB5DEE">
        <w:rPr>
          <w:rFonts w:eastAsia="Times New Roman"/>
          <w:lang w:eastAsia="cs-CZ"/>
        </w:rPr>
        <w:t xml:space="preserve"> </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návrh rozpočtu EU připravuje Evropská komise (duben)</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projednání návrhu ve Výboru ministrů pro hospodářství a finance a Evropském parlamentu</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předložení návrhu Radě EU – ta zaujme postoj, který EP schválí nebo navrhne změny</w:t>
      </w:r>
    </w:p>
    <w:p w:rsidR="00B47578" w:rsidRPr="00B47578" w:rsidRDefault="00B47578" w:rsidP="00B47578">
      <w:pPr>
        <w:pStyle w:val="Odstavecseseznamem"/>
        <w:numPr>
          <w:ilvl w:val="0"/>
          <w:numId w:val="9"/>
        </w:numPr>
        <w:spacing w:after="0" w:line="240" w:lineRule="auto"/>
        <w:rPr>
          <w:rFonts w:eastAsia="Times New Roman" w:cstheme="minorHAnsi"/>
          <w:sz w:val="20"/>
          <w:szCs w:val="20"/>
          <w:lang w:eastAsia="cs-CZ"/>
        </w:rPr>
      </w:pPr>
      <w:r w:rsidRPr="00B47578">
        <w:rPr>
          <w:rFonts w:eastAsia="Times New Roman" w:cstheme="minorHAnsi"/>
          <w:sz w:val="20"/>
          <w:szCs w:val="20"/>
          <w:lang w:eastAsia="cs-CZ"/>
        </w:rPr>
        <w:t>schválení Evropským parlamentem (požaduje se kvalifikovaná většina – 3/5 přítomných) (prosinec)</w:t>
      </w:r>
    </w:p>
    <w:p w:rsidR="005F16C1" w:rsidRPr="009C50F4" w:rsidRDefault="005F16C1" w:rsidP="009C50F4">
      <w:pPr>
        <w:spacing w:after="0" w:line="240" w:lineRule="auto"/>
        <w:rPr>
          <w:rFonts w:eastAsia="Times New Roman" w:cstheme="minorHAnsi"/>
          <w:sz w:val="20"/>
          <w:szCs w:val="20"/>
          <w:lang w:eastAsia="cs-CZ"/>
        </w:rPr>
      </w:pPr>
      <w:r w:rsidRPr="009C50F4">
        <w:rPr>
          <w:rFonts w:eastAsia="Times New Roman" w:cstheme="minorHAnsi"/>
          <w:sz w:val="20"/>
          <w:szCs w:val="20"/>
          <w:lang w:eastAsia="cs-CZ"/>
        </w:rPr>
        <w:br w:type="page"/>
      </w:r>
    </w:p>
    <w:p w:rsidR="005F16C1" w:rsidRPr="00BB5DEE" w:rsidRDefault="005F16C1" w:rsidP="00BB5DEE">
      <w:pPr>
        <w:pStyle w:val="Nadpis1"/>
        <w:rPr>
          <w:rFonts w:eastAsia="Times New Roman"/>
          <w:lang w:eastAsia="cs-CZ"/>
        </w:rPr>
      </w:pPr>
      <w:bookmarkStart w:id="49" w:name="_Toc282320163"/>
      <w:r w:rsidRPr="00BB5DEE">
        <w:rPr>
          <w:rFonts w:eastAsia="Times New Roman"/>
          <w:lang w:eastAsia="cs-CZ"/>
        </w:rPr>
        <w:lastRenderedPageBreak/>
        <w:t>11. Měnová unie</w:t>
      </w:r>
      <w:bookmarkEnd w:id="49"/>
      <w:r w:rsidRPr="00BB5DEE">
        <w:rPr>
          <w:rFonts w:eastAsia="Times New Roman"/>
          <w:lang w:eastAsia="cs-CZ"/>
        </w:rPr>
        <w:t xml:space="preserve"> </w:t>
      </w:r>
    </w:p>
    <w:p w:rsidR="005F16C1" w:rsidRPr="00BB5DEE" w:rsidRDefault="005F16C1" w:rsidP="00BB5DEE">
      <w:pPr>
        <w:pStyle w:val="Nadpis2"/>
        <w:spacing w:before="0"/>
        <w:rPr>
          <w:rFonts w:eastAsia="Times New Roman"/>
          <w:lang w:eastAsia="cs-CZ"/>
        </w:rPr>
      </w:pPr>
      <w:bookmarkStart w:id="50" w:name="_Toc282320164"/>
      <w:r w:rsidRPr="00BB5DEE">
        <w:rPr>
          <w:rFonts w:eastAsia="Times New Roman"/>
          <w:lang w:eastAsia="cs-CZ"/>
        </w:rPr>
        <w:t>a) Konvergenční kritéria</w:t>
      </w:r>
      <w:bookmarkEnd w:id="50"/>
      <w:r w:rsidRPr="00BB5DEE">
        <w:rPr>
          <w:rFonts w:eastAsia="Times New Roman"/>
          <w:lang w:eastAsia="cs-CZ"/>
        </w:rPr>
        <w:t xml:space="preserve"> </w:t>
      </w:r>
    </w:p>
    <w:p w:rsidR="008C0272" w:rsidRPr="004D76A6" w:rsidRDefault="008C0272" w:rsidP="004D76A6">
      <w:pPr>
        <w:pStyle w:val="Odstavecseseznamem"/>
        <w:numPr>
          <w:ilvl w:val="0"/>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Rozpočtová = kritéria udržitelnosti veřejných financí</w:t>
      </w:r>
    </w:p>
    <w:p w:rsidR="008C0272" w:rsidRPr="004D76A6" w:rsidRDefault="008C0272" w:rsidP="004D76A6">
      <w:pPr>
        <w:pStyle w:val="Odstavecseseznamem"/>
        <w:numPr>
          <w:ilvl w:val="1"/>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Vládní deficit - do 3% HDP</w:t>
      </w:r>
    </w:p>
    <w:p w:rsidR="008C0272" w:rsidRPr="004D76A6" w:rsidRDefault="008C0272" w:rsidP="004D76A6">
      <w:pPr>
        <w:pStyle w:val="Odstavecseseznamem"/>
        <w:numPr>
          <w:ilvl w:val="1"/>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Veřejný dluh - do 60% HDP</w:t>
      </w:r>
    </w:p>
    <w:p w:rsidR="008C0272" w:rsidRPr="004D76A6" w:rsidRDefault="008C0272" w:rsidP="004D76A6">
      <w:pPr>
        <w:pStyle w:val="Odstavecseseznamem"/>
        <w:numPr>
          <w:ilvl w:val="0"/>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 xml:space="preserve">Měnová </w:t>
      </w:r>
    </w:p>
    <w:p w:rsidR="008C0272" w:rsidRPr="004D76A6" w:rsidRDefault="008C0272" w:rsidP="004D76A6">
      <w:pPr>
        <w:pStyle w:val="Odstavecseseznamem"/>
        <w:numPr>
          <w:ilvl w:val="1"/>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Cenová stabilita = kritérium cenové stability</w:t>
      </w:r>
    </w:p>
    <w:p w:rsidR="008C0272" w:rsidRPr="009D1782" w:rsidRDefault="008C0272" w:rsidP="008C0272">
      <w:pPr>
        <w:numPr>
          <w:ilvl w:val="2"/>
          <w:numId w:val="9"/>
        </w:numPr>
        <w:autoSpaceDE w:val="0"/>
        <w:autoSpaceDN w:val="0"/>
        <w:adjustRightInd w:val="0"/>
        <w:spacing w:after="0" w:line="240" w:lineRule="auto"/>
        <w:jc w:val="both"/>
        <w:rPr>
          <w:rFonts w:ascii="Calibri" w:hAnsi="Calibri"/>
          <w:sz w:val="20"/>
          <w:szCs w:val="20"/>
          <w:u w:val="single"/>
        </w:rPr>
      </w:pPr>
      <w:r w:rsidRPr="009D1782">
        <w:rPr>
          <w:rFonts w:ascii="Calibri" w:hAnsi="Calibri"/>
          <w:sz w:val="20"/>
          <w:szCs w:val="20"/>
        </w:rPr>
        <w:t xml:space="preserve">12 měsíční průměr HICP inflace do 1,5 procentního bodu nad referenční hodnotou, která je průměrem tří zemí s nejnižší inflací </w:t>
      </w:r>
    </w:p>
    <w:p w:rsidR="008C0272" w:rsidRPr="004D76A6" w:rsidRDefault="008C0272" w:rsidP="004D76A6">
      <w:pPr>
        <w:pStyle w:val="Odstavecseseznamem"/>
        <w:numPr>
          <w:ilvl w:val="1"/>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Úrokové míry = kritérium dlouhodobých úrokových sazeb</w:t>
      </w:r>
    </w:p>
    <w:p w:rsidR="008C0272" w:rsidRPr="009D1782" w:rsidRDefault="008C0272" w:rsidP="008C0272">
      <w:pPr>
        <w:numPr>
          <w:ilvl w:val="2"/>
          <w:numId w:val="9"/>
        </w:numPr>
        <w:autoSpaceDE w:val="0"/>
        <w:autoSpaceDN w:val="0"/>
        <w:adjustRightInd w:val="0"/>
        <w:spacing w:after="0" w:line="240" w:lineRule="auto"/>
        <w:jc w:val="both"/>
        <w:rPr>
          <w:rFonts w:ascii="Calibri" w:hAnsi="Calibri"/>
          <w:sz w:val="20"/>
          <w:szCs w:val="20"/>
          <w:u w:val="single"/>
        </w:rPr>
      </w:pPr>
      <w:r w:rsidRPr="009D1782">
        <w:rPr>
          <w:rFonts w:ascii="Calibri" w:hAnsi="Calibri"/>
          <w:sz w:val="20"/>
          <w:szCs w:val="20"/>
        </w:rPr>
        <w:t xml:space="preserve">10 leté vládní dluhopisy s úrokovou mírou do 2,0 procentního bodu nad průměrem vládních dluhopisů tří zemí s nejlepší cenovou stabilitou </w:t>
      </w:r>
    </w:p>
    <w:p w:rsidR="008C0272" w:rsidRPr="004D76A6" w:rsidRDefault="008C0272" w:rsidP="004D76A6">
      <w:pPr>
        <w:pStyle w:val="Odstavecseseznamem"/>
        <w:numPr>
          <w:ilvl w:val="1"/>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Stabilita měnového kurzu = kritérium směnného kurzu</w:t>
      </w:r>
    </w:p>
    <w:p w:rsidR="008C0272" w:rsidRPr="004D76A6" w:rsidRDefault="008C0272" w:rsidP="008C0272">
      <w:pPr>
        <w:numPr>
          <w:ilvl w:val="2"/>
          <w:numId w:val="9"/>
        </w:numPr>
        <w:autoSpaceDE w:val="0"/>
        <w:autoSpaceDN w:val="0"/>
        <w:adjustRightInd w:val="0"/>
        <w:spacing w:after="0" w:line="240" w:lineRule="auto"/>
        <w:jc w:val="both"/>
        <w:rPr>
          <w:rFonts w:ascii="Calibri" w:hAnsi="Calibri"/>
          <w:sz w:val="20"/>
          <w:szCs w:val="20"/>
        </w:rPr>
      </w:pPr>
      <w:r w:rsidRPr="004D76A6">
        <w:rPr>
          <w:rFonts w:ascii="Calibri" w:hAnsi="Calibri"/>
          <w:sz w:val="20"/>
          <w:szCs w:val="20"/>
        </w:rPr>
        <w:t xml:space="preserve">minimálně dvouletý pobyt v ERM II bez porušení ± 15,0 %ního fluktuačního pásma a devalvace centrální parity </w:t>
      </w:r>
    </w:p>
    <w:p w:rsidR="005F16C1" w:rsidRPr="00BB5DEE" w:rsidRDefault="005F16C1" w:rsidP="00BB5DEE">
      <w:pPr>
        <w:pStyle w:val="Nadpis2"/>
        <w:spacing w:before="0"/>
        <w:rPr>
          <w:rFonts w:eastAsia="Times New Roman"/>
          <w:lang w:eastAsia="cs-CZ"/>
        </w:rPr>
      </w:pPr>
      <w:bookmarkStart w:id="51" w:name="_Toc282320165"/>
      <w:r w:rsidRPr="00BB5DEE">
        <w:rPr>
          <w:rFonts w:eastAsia="Times New Roman"/>
          <w:lang w:eastAsia="cs-CZ"/>
        </w:rPr>
        <w:t>b) Pakt stability a růstu</w:t>
      </w:r>
      <w:bookmarkEnd w:id="51"/>
      <w:r w:rsidRPr="00BB5DEE">
        <w:rPr>
          <w:rFonts w:eastAsia="Times New Roman"/>
          <w:lang w:eastAsia="cs-CZ"/>
        </w:rPr>
        <w:t xml:space="preserve"> </w:t>
      </w:r>
    </w:p>
    <w:p w:rsidR="008C0272" w:rsidRPr="004D76A6" w:rsidRDefault="008C0272" w:rsidP="004D76A6">
      <w:pPr>
        <w:pStyle w:val="Odstavecseseznamem"/>
        <w:numPr>
          <w:ilvl w:val="0"/>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 nástroj koordinace hospodářských (rozpočtových) politik členských států EU, přijatý za účelem dodržování rozpočtové disciplíny v rámci HMU (EMU)</w:t>
      </w:r>
    </w:p>
    <w:p w:rsidR="008C0272" w:rsidRPr="004D76A6" w:rsidRDefault="008C0272" w:rsidP="004D76A6">
      <w:pPr>
        <w:pStyle w:val="Odstavecseseznamem"/>
        <w:numPr>
          <w:ilvl w:val="1"/>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2 nástroje koordinace rozpočtových politik – nástroje preventivní + nástroje sankční</w:t>
      </w:r>
    </w:p>
    <w:p w:rsidR="008C0272" w:rsidRPr="004D76A6" w:rsidRDefault="008C0272" w:rsidP="004D76A6">
      <w:pPr>
        <w:pStyle w:val="Odstavecseseznamem"/>
        <w:numPr>
          <w:ilvl w:val="1"/>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Skládá se ze 3 částí:</w:t>
      </w:r>
    </w:p>
    <w:p w:rsidR="008C0272" w:rsidRDefault="008C0272" w:rsidP="008C0272">
      <w:pPr>
        <w:pStyle w:val="odr1"/>
        <w:numPr>
          <w:ilvl w:val="0"/>
          <w:numId w:val="13"/>
        </w:numPr>
        <w:rPr>
          <w:sz w:val="18"/>
          <w:szCs w:val="18"/>
        </w:rPr>
      </w:pPr>
      <w:r>
        <w:rPr>
          <w:sz w:val="18"/>
          <w:szCs w:val="18"/>
        </w:rPr>
        <w:t>Rezoluce Evropské rady o Paktu stability a růstu (</w:t>
      </w:r>
      <w:r w:rsidRPr="00287968">
        <w:rPr>
          <w:sz w:val="18"/>
          <w:szCs w:val="18"/>
        </w:rPr>
        <w:t>přijat</w:t>
      </w:r>
      <w:r>
        <w:rPr>
          <w:sz w:val="18"/>
          <w:szCs w:val="18"/>
        </w:rPr>
        <w:t>a</w:t>
      </w:r>
      <w:r w:rsidRPr="00287968">
        <w:rPr>
          <w:sz w:val="18"/>
          <w:szCs w:val="18"/>
        </w:rPr>
        <w:t xml:space="preserve"> v Amsterodamu v 6/1997</w:t>
      </w:r>
      <w:r>
        <w:rPr>
          <w:sz w:val="18"/>
          <w:szCs w:val="18"/>
        </w:rPr>
        <w:t>)</w:t>
      </w:r>
    </w:p>
    <w:p w:rsidR="008C0272" w:rsidRDefault="008C0272" w:rsidP="008C0272">
      <w:pPr>
        <w:pStyle w:val="odr1"/>
        <w:numPr>
          <w:ilvl w:val="0"/>
          <w:numId w:val="13"/>
        </w:numPr>
        <w:rPr>
          <w:sz w:val="18"/>
          <w:szCs w:val="18"/>
        </w:rPr>
      </w:pPr>
      <w:r>
        <w:rPr>
          <w:sz w:val="18"/>
          <w:szCs w:val="18"/>
        </w:rPr>
        <w:t>dvou nařízení Rady ze 7/1997</w:t>
      </w:r>
    </w:p>
    <w:p w:rsidR="008C0272" w:rsidRDefault="008C0272" w:rsidP="008C0272">
      <w:pPr>
        <w:pStyle w:val="odr1"/>
        <w:numPr>
          <w:ilvl w:val="1"/>
          <w:numId w:val="13"/>
        </w:numPr>
        <w:rPr>
          <w:sz w:val="18"/>
          <w:szCs w:val="18"/>
        </w:rPr>
      </w:pPr>
      <w:r>
        <w:rPr>
          <w:sz w:val="18"/>
          <w:szCs w:val="18"/>
        </w:rPr>
        <w:t>jedna jako preventivní nástroj – dohled nad rozpočty a koordinací hospodářských politik</w:t>
      </w:r>
    </w:p>
    <w:p w:rsidR="008C0272" w:rsidRDefault="008C0272" w:rsidP="008C0272">
      <w:pPr>
        <w:pStyle w:val="odr1"/>
        <w:numPr>
          <w:ilvl w:val="1"/>
          <w:numId w:val="13"/>
        </w:numPr>
        <w:rPr>
          <w:sz w:val="18"/>
          <w:szCs w:val="18"/>
        </w:rPr>
      </w:pPr>
      <w:r>
        <w:rPr>
          <w:sz w:val="18"/>
          <w:szCs w:val="18"/>
        </w:rPr>
        <w:t>druhá jako sankční nástroj – urychlování a vyjasňování aplikace postupů při nadměrném schodku</w:t>
      </w:r>
    </w:p>
    <w:p w:rsidR="008C0272" w:rsidRPr="004D76A6" w:rsidRDefault="008C0272" w:rsidP="004D76A6">
      <w:pPr>
        <w:pStyle w:val="Odstavecseseznamem"/>
        <w:numPr>
          <w:ilvl w:val="0"/>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Představuje souhrn návrhů a opatření k udržení střednědobé fiskální rovnováhy smluvních zemí</w:t>
      </w:r>
    </w:p>
    <w:p w:rsidR="008C0272" w:rsidRPr="004D76A6" w:rsidRDefault="008C0272" w:rsidP="004D76A6">
      <w:pPr>
        <w:pStyle w:val="Odstavecseseznamem"/>
        <w:numPr>
          <w:ilvl w:val="0"/>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Je závazný pro všechny země EU, členy i nečleny EMU</w:t>
      </w:r>
    </w:p>
    <w:p w:rsidR="004D76A6" w:rsidRPr="004D76A6" w:rsidRDefault="008C0272" w:rsidP="004D76A6">
      <w:pPr>
        <w:pStyle w:val="Odstavecseseznamem"/>
        <w:numPr>
          <w:ilvl w:val="0"/>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Členské státy EMU musí Radě EU předkládat programy stability, kde specifikují :</w:t>
      </w:r>
    </w:p>
    <w:p w:rsidR="008C0272" w:rsidRPr="004D76A6" w:rsidRDefault="008C0272" w:rsidP="004D76A6">
      <w:pPr>
        <w:pStyle w:val="Odstavecseseznamem"/>
        <w:numPr>
          <w:ilvl w:val="1"/>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své střednědobé fiskální cíle na národní úrovni</w:t>
      </w:r>
    </w:p>
    <w:p w:rsidR="008C0272" w:rsidRPr="004D76A6" w:rsidRDefault="008C0272" w:rsidP="004D76A6">
      <w:pPr>
        <w:pStyle w:val="Odstavecseseznamem"/>
        <w:numPr>
          <w:ilvl w:val="1"/>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nástroje k dosažení těchto cílů</w:t>
      </w:r>
    </w:p>
    <w:p w:rsidR="008C0272" w:rsidRPr="004D76A6" w:rsidRDefault="008C0272" w:rsidP="004D76A6">
      <w:pPr>
        <w:pStyle w:val="Odstavecseseznamem"/>
        <w:numPr>
          <w:ilvl w:val="0"/>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Při odchýlení může Rada předat danému státu doporučení, v případě přijatých neúčinných opatření uloží sankci (peněžní či nepeněžní, peněžní se vrací po splnění kritérií)</w:t>
      </w:r>
    </w:p>
    <w:p w:rsidR="008C0272" w:rsidRPr="004D76A6" w:rsidRDefault="008C0272" w:rsidP="004D76A6">
      <w:pPr>
        <w:spacing w:after="0" w:line="240" w:lineRule="auto"/>
        <w:ind w:left="360"/>
        <w:rPr>
          <w:rFonts w:eastAsia="Times New Roman" w:cstheme="minorHAnsi"/>
          <w:sz w:val="20"/>
          <w:szCs w:val="20"/>
          <w:lang w:eastAsia="cs-CZ"/>
        </w:rPr>
      </w:pPr>
      <w:r w:rsidRPr="004D76A6">
        <w:rPr>
          <w:rFonts w:eastAsia="Times New Roman" w:cstheme="minorHAnsi"/>
          <w:sz w:val="20"/>
          <w:szCs w:val="20"/>
          <w:lang w:eastAsia="cs-CZ"/>
        </w:rPr>
        <w:t>Nečlenské státy EMU musí Radě EU předkládat konvergenční programy – mají oproti programům stability další proměnné, např. cíle měnové politiky ke vztahu k devizovým kurzům a inflaci</w:t>
      </w:r>
    </w:p>
    <w:p w:rsidR="008C0272" w:rsidRPr="004D76A6" w:rsidRDefault="008C0272" w:rsidP="004D76A6">
      <w:p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Pro účely Paktu stability a růstu jsou členské státy EU rozděleny do dvou kategorií, a to na:</w:t>
      </w:r>
    </w:p>
    <w:p w:rsidR="008C0272" w:rsidRPr="004D76A6" w:rsidRDefault="008C0272" w:rsidP="009D1782">
      <w:pPr>
        <w:pStyle w:val="Odstavecseseznamem"/>
        <w:numPr>
          <w:ilvl w:val="0"/>
          <w:numId w:val="9"/>
        </w:numPr>
        <w:spacing w:after="0" w:line="240" w:lineRule="auto"/>
        <w:rPr>
          <w:rFonts w:eastAsia="Times New Roman" w:cstheme="minorHAnsi"/>
          <w:sz w:val="20"/>
          <w:szCs w:val="20"/>
          <w:lang w:eastAsia="cs-CZ"/>
        </w:rPr>
      </w:pPr>
      <w:r w:rsidRPr="004D76A6">
        <w:rPr>
          <w:rFonts w:eastAsia="Times New Roman" w:cstheme="minorHAnsi"/>
          <w:sz w:val="20"/>
          <w:szCs w:val="20"/>
          <w:lang w:eastAsia="cs-CZ"/>
        </w:rPr>
        <w:t>účastnické členské státy</w:t>
      </w:r>
      <w:r w:rsidR="004D76A6" w:rsidRPr="004D76A6">
        <w:rPr>
          <w:rFonts w:eastAsia="Times New Roman" w:cstheme="minorHAnsi"/>
          <w:sz w:val="20"/>
          <w:szCs w:val="20"/>
          <w:lang w:eastAsia="cs-CZ"/>
        </w:rPr>
        <w:t xml:space="preserve"> - </w:t>
      </w:r>
      <w:r w:rsidRPr="004D76A6">
        <w:rPr>
          <w:rFonts w:eastAsia="Times New Roman" w:cstheme="minorHAnsi"/>
          <w:sz w:val="20"/>
          <w:szCs w:val="20"/>
          <w:lang w:eastAsia="cs-CZ"/>
        </w:rPr>
        <w:t>již přijaly jednotnou měnu, a jsou součástí jednotné měnové politiky, stanovované Evropskou centrální bankou</w:t>
      </w:r>
    </w:p>
    <w:p w:rsidR="008C0272" w:rsidRPr="009D1782" w:rsidRDefault="008C0272" w:rsidP="009D1782">
      <w:pPr>
        <w:pStyle w:val="Odstavecseseznamem"/>
        <w:numPr>
          <w:ilvl w:val="0"/>
          <w:numId w:val="9"/>
        </w:numPr>
        <w:spacing w:after="0" w:line="240" w:lineRule="auto"/>
        <w:rPr>
          <w:rFonts w:eastAsia="Times New Roman" w:cstheme="minorHAnsi"/>
          <w:sz w:val="20"/>
          <w:szCs w:val="20"/>
          <w:lang w:eastAsia="cs-CZ"/>
        </w:rPr>
      </w:pPr>
      <w:r w:rsidRPr="009D1782">
        <w:rPr>
          <w:rFonts w:eastAsia="Times New Roman" w:cstheme="minorHAnsi"/>
          <w:sz w:val="20"/>
          <w:szCs w:val="20"/>
          <w:lang w:eastAsia="cs-CZ"/>
        </w:rPr>
        <w:t>neúčastnické členské státy</w:t>
      </w:r>
      <w:r w:rsidR="009D1782" w:rsidRPr="009D1782">
        <w:rPr>
          <w:rFonts w:eastAsia="Times New Roman" w:cstheme="minorHAnsi"/>
          <w:sz w:val="20"/>
          <w:szCs w:val="20"/>
          <w:lang w:eastAsia="cs-CZ"/>
        </w:rPr>
        <w:t xml:space="preserve"> - </w:t>
      </w:r>
      <w:r w:rsidRPr="009D1782">
        <w:rPr>
          <w:rFonts w:eastAsia="Times New Roman" w:cstheme="minorHAnsi"/>
          <w:sz w:val="20"/>
          <w:szCs w:val="20"/>
          <w:lang w:eastAsia="cs-CZ"/>
        </w:rPr>
        <w:t>ty členské státy EU, které dosud nepřijaly jednotnou měnu a nejsou součástí jednotné měnové politiky, nýbrž svoji měnovou politiku koordinují v rámci Evropského systému centrálních bank.</w:t>
      </w:r>
    </w:p>
    <w:p w:rsidR="005F16C1" w:rsidRPr="00BB5DEE" w:rsidRDefault="005F16C1" w:rsidP="00BB5DEE">
      <w:pPr>
        <w:pStyle w:val="Nadpis2"/>
        <w:spacing w:before="0"/>
        <w:rPr>
          <w:rFonts w:eastAsia="Times New Roman"/>
          <w:lang w:eastAsia="cs-CZ"/>
        </w:rPr>
      </w:pPr>
      <w:bookmarkStart w:id="52" w:name="_Toc282320166"/>
      <w:r w:rsidRPr="00BB5DEE">
        <w:rPr>
          <w:rFonts w:eastAsia="Times New Roman"/>
          <w:lang w:eastAsia="cs-CZ"/>
        </w:rPr>
        <w:t>c) instituce</w:t>
      </w:r>
      <w:bookmarkEnd w:id="52"/>
      <w:r w:rsidRPr="00BB5DEE">
        <w:rPr>
          <w:rFonts w:eastAsia="Times New Roman"/>
          <w:lang w:eastAsia="cs-CZ"/>
        </w:rPr>
        <w:t xml:space="preserve"> </w:t>
      </w:r>
    </w:p>
    <w:p w:rsidR="00D80226" w:rsidRDefault="00D80226" w:rsidP="00D80226">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ECB</w:t>
      </w:r>
    </w:p>
    <w:p w:rsidR="00D80226" w:rsidRDefault="00D80226" w:rsidP="00D80226">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Evropský systém centrálních bank</w:t>
      </w:r>
    </w:p>
    <w:p w:rsidR="00D80226" w:rsidRPr="00D80226" w:rsidRDefault="00D80226" w:rsidP="00D80226">
      <w:pPr>
        <w:spacing w:after="0" w:line="240" w:lineRule="auto"/>
        <w:rPr>
          <w:rFonts w:eastAsia="Times New Roman" w:cstheme="minorHAnsi"/>
          <w:sz w:val="20"/>
          <w:szCs w:val="20"/>
          <w:lang w:eastAsia="cs-CZ"/>
        </w:rPr>
      </w:pPr>
    </w:p>
    <w:p w:rsidR="005F16C1" w:rsidRPr="009C50F4" w:rsidRDefault="005F16C1" w:rsidP="009C50F4">
      <w:pPr>
        <w:spacing w:after="0" w:line="240" w:lineRule="auto"/>
        <w:rPr>
          <w:rFonts w:eastAsia="Times New Roman" w:cstheme="minorHAnsi"/>
          <w:sz w:val="20"/>
          <w:szCs w:val="20"/>
          <w:lang w:eastAsia="cs-CZ"/>
        </w:rPr>
      </w:pPr>
      <w:r w:rsidRPr="009C50F4">
        <w:rPr>
          <w:rFonts w:eastAsia="Times New Roman" w:cstheme="minorHAnsi"/>
          <w:sz w:val="20"/>
          <w:szCs w:val="20"/>
          <w:lang w:eastAsia="cs-CZ"/>
        </w:rPr>
        <w:br w:type="page"/>
      </w:r>
    </w:p>
    <w:p w:rsidR="005F16C1" w:rsidRPr="00BB5DEE" w:rsidRDefault="005F16C1" w:rsidP="00BB5DEE">
      <w:pPr>
        <w:pStyle w:val="Nadpis1"/>
        <w:rPr>
          <w:rFonts w:eastAsia="Times New Roman"/>
          <w:lang w:eastAsia="cs-CZ"/>
        </w:rPr>
      </w:pPr>
      <w:bookmarkStart w:id="53" w:name="_Toc282320167"/>
      <w:r w:rsidRPr="00BB5DEE">
        <w:rPr>
          <w:rFonts w:eastAsia="Times New Roman"/>
          <w:lang w:eastAsia="cs-CZ"/>
        </w:rPr>
        <w:lastRenderedPageBreak/>
        <w:t>12. Vnitřní trh EU</w:t>
      </w:r>
      <w:bookmarkEnd w:id="53"/>
      <w:r w:rsidRPr="00BB5DEE">
        <w:rPr>
          <w:rFonts w:eastAsia="Times New Roman"/>
          <w:lang w:eastAsia="cs-CZ"/>
        </w:rPr>
        <w:t xml:space="preserve"> </w:t>
      </w:r>
    </w:p>
    <w:p w:rsidR="005F16C1" w:rsidRPr="00BB5DEE" w:rsidRDefault="005F16C1" w:rsidP="00BB5DEE">
      <w:pPr>
        <w:pStyle w:val="Nadpis2"/>
        <w:spacing w:before="0"/>
        <w:rPr>
          <w:rFonts w:eastAsia="Times New Roman"/>
          <w:lang w:eastAsia="cs-CZ"/>
        </w:rPr>
      </w:pPr>
      <w:bookmarkStart w:id="54" w:name="_Toc282320168"/>
      <w:r w:rsidRPr="00BB5DEE">
        <w:rPr>
          <w:rFonts w:eastAsia="Times New Roman"/>
          <w:lang w:eastAsia="cs-CZ"/>
        </w:rPr>
        <w:t>a) základní charakteristika</w:t>
      </w:r>
      <w:bookmarkEnd w:id="54"/>
      <w:r w:rsidRPr="00BB5DEE">
        <w:rPr>
          <w:rFonts w:eastAsia="Times New Roman"/>
          <w:lang w:eastAsia="cs-CZ"/>
        </w:rPr>
        <w:t xml:space="preserve"> </w:t>
      </w:r>
    </w:p>
    <w:p w:rsidR="009C652F" w:rsidRDefault="009C652F"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První fáze HMU (EMU)</w:t>
      </w:r>
    </w:p>
    <w:p w:rsidR="00370F57" w:rsidRDefault="000E651F"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Stojí na 4 základních svobodách</w:t>
      </w:r>
    </w:p>
    <w:p w:rsidR="00370F57" w:rsidRDefault="000E651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Volný pohyb zboží</w:t>
      </w:r>
    </w:p>
    <w:p w:rsidR="000E651F" w:rsidRDefault="000E651F" w:rsidP="000E651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Schengenský prostor</w:t>
      </w:r>
    </w:p>
    <w:p w:rsidR="000E651F" w:rsidRDefault="000E651F" w:rsidP="000E651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Omezení mikroekonomické konkurence mezi státy</w:t>
      </w:r>
    </w:p>
    <w:p w:rsidR="000E651F" w:rsidRDefault="000E651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Volný pohyb osob</w:t>
      </w:r>
    </w:p>
    <w:p w:rsidR="000E651F" w:rsidRDefault="009C652F" w:rsidP="000E651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Mají-li občanství EU</w:t>
      </w:r>
    </w:p>
    <w:p w:rsidR="000E651F" w:rsidRDefault="000E651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Volný pohyb služeb</w:t>
      </w:r>
    </w:p>
    <w:p w:rsidR="009C652F" w:rsidRDefault="009C652F" w:rsidP="009C652F">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Včetně služeb speciálních (bankovnictví, pojišťovny)</w:t>
      </w:r>
    </w:p>
    <w:p w:rsidR="000E651F" w:rsidRDefault="000E651F"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Volný pohyb kapitálu a plateb</w:t>
      </w:r>
    </w:p>
    <w:p w:rsidR="00370F57" w:rsidRDefault="000E651F" w:rsidP="000E651F">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Odstranění fyzických, technických a fiskálních překážek – odstranění kontrol na hranicích, sblížení norem, celních a daňových řádů, komunitarizace veřejných zakázek …</w:t>
      </w:r>
    </w:p>
    <w:p w:rsidR="000E651F" w:rsidRDefault="000E651F" w:rsidP="000E651F">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Právní základ vytvořil Jednotný evropský akt</w:t>
      </w:r>
    </w:p>
    <w:p w:rsidR="005F16C1" w:rsidRPr="00BB5DEE" w:rsidRDefault="005F16C1" w:rsidP="00BB5DEE">
      <w:pPr>
        <w:pStyle w:val="Nadpis2"/>
        <w:spacing w:before="0"/>
        <w:rPr>
          <w:rFonts w:eastAsia="Times New Roman"/>
          <w:lang w:eastAsia="cs-CZ"/>
        </w:rPr>
      </w:pPr>
      <w:bookmarkStart w:id="55" w:name="_Toc282320169"/>
      <w:r w:rsidRPr="00BB5DEE">
        <w:rPr>
          <w:rFonts w:eastAsia="Times New Roman"/>
          <w:lang w:eastAsia="cs-CZ"/>
        </w:rPr>
        <w:t>b) Volný pohyb zboží</w:t>
      </w:r>
      <w:bookmarkEnd w:id="55"/>
      <w:r w:rsidRPr="00BB5DEE">
        <w:rPr>
          <w:rFonts w:eastAsia="Times New Roman"/>
          <w:lang w:eastAsia="cs-CZ"/>
        </w:rPr>
        <w:t xml:space="preserve"> </w:t>
      </w:r>
    </w:p>
    <w:p w:rsidR="00370F57" w:rsidRDefault="009C652F"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Zboží je – hmotný předmět, předmět obchodní transakce, předmět ocenitelný v penězích</w:t>
      </w:r>
    </w:p>
    <w:p w:rsidR="00370F57" w:rsidRDefault="009C652F" w:rsidP="009C652F">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Zboží není – drogy, lidské orgány, práva duševního vlastnictví, rybolovná práva, certifikáty</w:t>
      </w:r>
    </w:p>
    <w:p w:rsidR="00370F57" w:rsidRDefault="00A958DC" w:rsidP="009C652F">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Zakázané v</w:t>
      </w:r>
      <w:r w:rsidR="009C652F">
        <w:rPr>
          <w:rFonts w:eastAsia="Times New Roman" w:cstheme="minorHAnsi"/>
          <w:sz w:val="20"/>
          <w:szCs w:val="20"/>
          <w:lang w:eastAsia="cs-CZ"/>
        </w:rPr>
        <w:t>ýjimky z volného pohybu zboží</w:t>
      </w:r>
    </w:p>
    <w:p w:rsidR="009C652F" w:rsidRDefault="00A958DC" w:rsidP="009C652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Fiskální překážky (tarifní)</w:t>
      </w:r>
    </w:p>
    <w:p w:rsidR="00A958DC" w:rsidRDefault="00A958DC" w:rsidP="009C652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Kvantitativní překážky (netarifní)</w:t>
      </w:r>
    </w:p>
    <w:p w:rsidR="00A958DC" w:rsidRDefault="00A958DC" w:rsidP="009C652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Pro uplatnění výjimky musí státy prokázat, že:</w:t>
      </w:r>
    </w:p>
    <w:p w:rsidR="00A958DC" w:rsidRDefault="00A958DC" w:rsidP="00A958DC">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Skutkový stav odpovídá výjimce + nejedná se o úmyslnou diskriminaci + nejedná se o skryté omezování volného obchodu, omezení jsou přiměřená</w:t>
      </w:r>
    </w:p>
    <w:p w:rsidR="00A958DC" w:rsidRDefault="00A958DC" w:rsidP="00A958DC">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Předmětem výjimky:</w:t>
      </w:r>
    </w:p>
    <w:p w:rsidR="00A958DC" w:rsidRDefault="00A958DC" w:rsidP="00A958DC">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Veřejná mravnost, pořádek, bezpečnost</w:t>
      </w:r>
    </w:p>
    <w:p w:rsidR="00A958DC" w:rsidRDefault="00A958DC" w:rsidP="00A958DC">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Ochrana zdraví a života osob, zvířat a rostlin</w:t>
      </w:r>
    </w:p>
    <w:p w:rsidR="00A958DC" w:rsidRDefault="00A958DC" w:rsidP="00A958DC">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Ochrana národních pokladů</w:t>
      </w:r>
    </w:p>
    <w:p w:rsidR="00A958DC" w:rsidRDefault="00A958DC" w:rsidP="00A958DC">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Ochrana průmyslového a obchodního vlastnictví</w:t>
      </w:r>
    </w:p>
    <w:p w:rsidR="0030021C" w:rsidRDefault="0030021C" w:rsidP="0030021C">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Zákaz cel a dávek s rovnocenným účinkem</w:t>
      </w:r>
    </w:p>
    <w:p w:rsidR="0030021C" w:rsidRDefault="0030021C" w:rsidP="0030021C">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Cla a poplatky s rovnocenným účinkem jsou mezi členskými státy zakázány</w:t>
      </w:r>
    </w:p>
    <w:p w:rsidR="0030021C" w:rsidRDefault="0030021C" w:rsidP="0030021C">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Zaveden společný celní sazebník pro dovoz ze 3. </w:t>
      </w:r>
      <w:r w:rsidR="000C796B">
        <w:rPr>
          <w:rFonts w:eastAsia="Times New Roman" w:cstheme="minorHAnsi"/>
          <w:sz w:val="20"/>
          <w:szCs w:val="20"/>
          <w:lang w:eastAsia="cs-CZ"/>
        </w:rPr>
        <w:t>Z</w:t>
      </w:r>
      <w:r>
        <w:rPr>
          <w:rFonts w:eastAsia="Times New Roman" w:cstheme="minorHAnsi"/>
          <w:sz w:val="20"/>
          <w:szCs w:val="20"/>
          <w:lang w:eastAsia="cs-CZ"/>
        </w:rPr>
        <w:t>emí</w:t>
      </w:r>
    </w:p>
    <w:p w:rsidR="000C796B" w:rsidRDefault="000C796B" w:rsidP="000C796B">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Zákaz kvantitativních omezení a opatření mající rovnocenný účinek</w:t>
      </w:r>
    </w:p>
    <w:p w:rsidR="000C796B" w:rsidRDefault="000C796B" w:rsidP="000C796B">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Zakázány dovozní a vývozní kvóty</w:t>
      </w:r>
    </w:p>
    <w:p w:rsidR="000C796B" w:rsidRDefault="000C796B" w:rsidP="000C796B">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Opatření s rovnocenným účinkem – viz Dassonvillská definice</w:t>
      </w:r>
      <w:r>
        <w:rPr>
          <w:rStyle w:val="Znakapoznpodarou"/>
          <w:rFonts w:eastAsia="Times New Roman" w:cstheme="minorHAnsi"/>
          <w:sz w:val="20"/>
          <w:szCs w:val="20"/>
          <w:lang w:eastAsia="cs-CZ"/>
        </w:rPr>
        <w:footnoteReference w:id="7"/>
      </w:r>
    </w:p>
    <w:p w:rsidR="001C0A36" w:rsidRDefault="001C0A36" w:rsidP="001C0A36">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Zákaz daňové diskriminace na dovážené zboží</w:t>
      </w:r>
    </w:p>
    <w:p w:rsidR="001C0A36" w:rsidRDefault="001C0A36" w:rsidP="001C0A36">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Zákaz státních obchodních monopolů, které by fungovaly na diskriminačním základě</w:t>
      </w:r>
    </w:p>
    <w:p w:rsidR="001C0A36" w:rsidRDefault="001C0A36" w:rsidP="001C0A36">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Zákaz státních podpor neslučitelných se společným trhem</w:t>
      </w:r>
    </w:p>
    <w:p w:rsidR="001C0A36" w:rsidRDefault="001C0A36" w:rsidP="001C0A36">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Zákaz zadávání veřejných zakázek, založených na diskriminačním základě</w:t>
      </w:r>
    </w:p>
    <w:p w:rsidR="005F16C1" w:rsidRPr="009C50F4" w:rsidRDefault="005F16C1" w:rsidP="009C50F4">
      <w:pPr>
        <w:spacing w:after="0" w:line="240" w:lineRule="auto"/>
        <w:rPr>
          <w:rFonts w:eastAsia="Times New Roman" w:cstheme="minorHAnsi"/>
          <w:sz w:val="20"/>
          <w:szCs w:val="20"/>
          <w:lang w:eastAsia="cs-CZ"/>
        </w:rPr>
      </w:pPr>
      <w:r w:rsidRPr="009C50F4">
        <w:rPr>
          <w:rFonts w:eastAsia="Times New Roman" w:cstheme="minorHAnsi"/>
          <w:sz w:val="20"/>
          <w:szCs w:val="20"/>
          <w:lang w:eastAsia="cs-CZ"/>
        </w:rPr>
        <w:br w:type="page"/>
      </w:r>
    </w:p>
    <w:p w:rsidR="005F16C1" w:rsidRPr="00BB5DEE" w:rsidRDefault="005F16C1" w:rsidP="00BB5DEE">
      <w:pPr>
        <w:pStyle w:val="Nadpis1"/>
        <w:rPr>
          <w:rFonts w:eastAsia="Times New Roman"/>
          <w:lang w:eastAsia="cs-CZ"/>
        </w:rPr>
      </w:pPr>
      <w:bookmarkStart w:id="56" w:name="_Toc282320170"/>
      <w:r w:rsidRPr="00BB5DEE">
        <w:rPr>
          <w:rFonts w:eastAsia="Times New Roman"/>
          <w:lang w:eastAsia="cs-CZ"/>
        </w:rPr>
        <w:lastRenderedPageBreak/>
        <w:t>13. Soutěžní právo EU a vybrané politiky EU</w:t>
      </w:r>
      <w:bookmarkEnd w:id="56"/>
      <w:r w:rsidRPr="00BB5DEE">
        <w:rPr>
          <w:rFonts w:eastAsia="Times New Roman"/>
          <w:lang w:eastAsia="cs-CZ"/>
        </w:rPr>
        <w:t xml:space="preserve"> </w:t>
      </w:r>
    </w:p>
    <w:p w:rsidR="005F16C1" w:rsidRPr="00BB5DEE" w:rsidRDefault="005F16C1" w:rsidP="00BB5DEE">
      <w:pPr>
        <w:pStyle w:val="Nadpis2"/>
        <w:spacing w:before="0"/>
        <w:rPr>
          <w:rFonts w:eastAsia="Times New Roman"/>
          <w:lang w:eastAsia="cs-CZ"/>
        </w:rPr>
      </w:pPr>
      <w:bookmarkStart w:id="57" w:name="_Toc282320171"/>
      <w:r w:rsidRPr="00BB5DEE">
        <w:rPr>
          <w:rFonts w:eastAsia="Times New Roman"/>
          <w:lang w:eastAsia="cs-CZ"/>
        </w:rPr>
        <w:t>a) komplementarita k úpravě společného trhu</w:t>
      </w:r>
      <w:bookmarkEnd w:id="57"/>
      <w:r w:rsidRPr="00BB5DEE">
        <w:rPr>
          <w:rFonts w:eastAsia="Times New Roman"/>
          <w:lang w:eastAsia="cs-CZ"/>
        </w:rPr>
        <w:t xml:space="preserve"> </w:t>
      </w:r>
    </w:p>
    <w:p w:rsidR="00370F57" w:rsidRDefault="00F3755D"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Doplňující funkce ke 4 svobodám pohybu (osob, zboží, služeb a kapitálu)</w:t>
      </w:r>
    </w:p>
    <w:p w:rsidR="00F3755D" w:rsidRDefault="00F3755D"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Založena na veřejnoprávních zákazech</w:t>
      </w:r>
    </w:p>
    <w:p w:rsidR="00F3755D" w:rsidRDefault="00F3755D" w:rsidP="00F3755D">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Tak, aby v prostoru, kde byly odstraněny veřejnoprávní překážky pohybu, nemohly vzniknout soukromoprávní</w:t>
      </w:r>
    </w:p>
    <w:p w:rsidR="00370F57" w:rsidRDefault="007E6B4A" w:rsidP="007E6B4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Soutěžní právo je soubor hmotněprávních a procesněprávních předpisů upravující regulaci soutěže v tržním hospodářství</w:t>
      </w:r>
    </w:p>
    <w:p w:rsidR="007E6B4A" w:rsidRDefault="007E6B4A" w:rsidP="007E6B4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Právní úprava – primární právo + jednotlivá nařízení upravující skupinové výjimky</w:t>
      </w:r>
    </w:p>
    <w:p w:rsidR="00370F57" w:rsidRDefault="00370F57"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w:t>
      </w:r>
    </w:p>
    <w:p w:rsidR="005F16C1" w:rsidRPr="00BB5DEE" w:rsidRDefault="005F16C1" w:rsidP="00BB5DEE">
      <w:pPr>
        <w:pStyle w:val="Nadpis2"/>
        <w:spacing w:before="0"/>
        <w:rPr>
          <w:rFonts w:eastAsia="Times New Roman"/>
          <w:lang w:eastAsia="cs-CZ"/>
        </w:rPr>
      </w:pPr>
      <w:bookmarkStart w:id="58" w:name="_Toc282320172"/>
      <w:r w:rsidRPr="00BB5DEE">
        <w:rPr>
          <w:rFonts w:eastAsia="Times New Roman"/>
          <w:lang w:eastAsia="cs-CZ"/>
        </w:rPr>
        <w:t>b) zákaz kartelů</w:t>
      </w:r>
      <w:bookmarkEnd w:id="58"/>
      <w:r w:rsidRPr="00BB5DEE">
        <w:rPr>
          <w:rFonts w:eastAsia="Times New Roman"/>
          <w:lang w:eastAsia="cs-CZ"/>
        </w:rPr>
        <w:t xml:space="preserve"> </w:t>
      </w:r>
    </w:p>
    <w:p w:rsidR="00370F57" w:rsidRDefault="005B5328"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Kartelová dohoda = dohoda ekonomických subjektů (podniků) o jednání ve shodě s cílem narušit soutěž na společném trhu</w:t>
      </w:r>
    </w:p>
    <w:p w:rsidR="00A45CD1" w:rsidRDefault="005B5328" w:rsidP="005B5328">
      <w:pPr>
        <w:pStyle w:val="Odstavecseseznamem"/>
        <w:numPr>
          <w:ilvl w:val="0"/>
          <w:numId w:val="9"/>
        </w:numPr>
        <w:spacing w:after="0" w:line="240" w:lineRule="auto"/>
        <w:rPr>
          <w:rFonts w:eastAsia="Times New Roman" w:cstheme="minorHAnsi"/>
          <w:sz w:val="20"/>
          <w:szCs w:val="20"/>
          <w:lang w:eastAsia="cs-CZ"/>
        </w:rPr>
      </w:pPr>
      <w:r w:rsidRPr="005B5328">
        <w:rPr>
          <w:rFonts w:eastAsia="Times New Roman" w:cstheme="minorHAnsi"/>
          <w:sz w:val="20"/>
          <w:szCs w:val="20"/>
          <w:lang w:eastAsia="cs-CZ"/>
        </w:rPr>
        <w:t>Cenový kartel</w:t>
      </w:r>
    </w:p>
    <w:p w:rsidR="005B5328" w:rsidRPr="005B5328" w:rsidRDefault="005B5328" w:rsidP="00A45CD1">
      <w:pPr>
        <w:pStyle w:val="Odstavecseseznamem"/>
        <w:numPr>
          <w:ilvl w:val="1"/>
          <w:numId w:val="9"/>
        </w:numPr>
        <w:spacing w:after="0" w:line="240" w:lineRule="auto"/>
        <w:rPr>
          <w:rFonts w:eastAsia="Times New Roman" w:cstheme="minorHAnsi"/>
          <w:sz w:val="20"/>
          <w:szCs w:val="20"/>
          <w:lang w:eastAsia="cs-CZ"/>
        </w:rPr>
      </w:pPr>
      <w:r w:rsidRPr="005B5328">
        <w:rPr>
          <w:rFonts w:eastAsia="Times New Roman" w:cstheme="minorHAnsi"/>
          <w:sz w:val="20"/>
          <w:szCs w:val="20"/>
          <w:lang w:eastAsia="cs-CZ"/>
        </w:rPr>
        <w:t>jedná se jednak o přímé určení cen, dále též i nepřímé určení cen – tedy stanovení závazných cen ze strany prodávajícího vůči kupujícím</w:t>
      </w:r>
    </w:p>
    <w:p w:rsidR="00A45CD1" w:rsidRDefault="00A45CD1" w:rsidP="00A45CD1">
      <w:pPr>
        <w:pStyle w:val="Odstavecseseznamem"/>
        <w:numPr>
          <w:ilvl w:val="0"/>
          <w:numId w:val="9"/>
        </w:numPr>
        <w:spacing w:after="0" w:line="240" w:lineRule="auto"/>
        <w:rPr>
          <w:rFonts w:eastAsia="Times New Roman" w:cstheme="minorHAnsi"/>
          <w:sz w:val="20"/>
          <w:szCs w:val="20"/>
          <w:lang w:eastAsia="cs-CZ"/>
        </w:rPr>
      </w:pPr>
      <w:r w:rsidRPr="00A45CD1">
        <w:rPr>
          <w:rFonts w:eastAsia="Times New Roman" w:cstheme="minorHAnsi"/>
          <w:sz w:val="20"/>
          <w:szCs w:val="20"/>
          <w:lang w:eastAsia="cs-CZ"/>
        </w:rPr>
        <w:t>Kartel kontrolní (výroby, prodeje, vývoje apod.)</w:t>
      </w:r>
    </w:p>
    <w:p w:rsidR="00A45CD1" w:rsidRPr="00A45CD1" w:rsidRDefault="00A45CD1" w:rsidP="00A45CD1">
      <w:pPr>
        <w:pStyle w:val="Odstavecseseznamem"/>
        <w:numPr>
          <w:ilvl w:val="1"/>
          <w:numId w:val="9"/>
        </w:numPr>
        <w:spacing w:after="0" w:line="240" w:lineRule="auto"/>
        <w:rPr>
          <w:rFonts w:eastAsia="Times New Roman" w:cstheme="minorHAnsi"/>
          <w:sz w:val="20"/>
          <w:szCs w:val="20"/>
          <w:lang w:eastAsia="cs-CZ"/>
        </w:rPr>
      </w:pPr>
      <w:r w:rsidRPr="00A45CD1">
        <w:rPr>
          <w:rFonts w:eastAsia="Times New Roman" w:cstheme="minorHAnsi"/>
          <w:sz w:val="20"/>
          <w:szCs w:val="20"/>
          <w:lang w:eastAsia="cs-CZ"/>
        </w:rPr>
        <w:t>závazek spočívající v</w:t>
      </w:r>
      <w:r>
        <w:rPr>
          <w:rFonts w:eastAsia="Times New Roman" w:cstheme="minorHAnsi"/>
          <w:sz w:val="20"/>
          <w:szCs w:val="20"/>
          <w:lang w:eastAsia="cs-CZ"/>
        </w:rPr>
        <w:t> </w:t>
      </w:r>
      <w:r w:rsidRPr="00A45CD1">
        <w:rPr>
          <w:rFonts w:eastAsia="Times New Roman" w:cstheme="minorHAnsi"/>
          <w:sz w:val="20"/>
          <w:szCs w:val="20"/>
          <w:lang w:eastAsia="cs-CZ"/>
        </w:rPr>
        <w:t>omezení</w:t>
      </w:r>
      <w:r>
        <w:rPr>
          <w:rFonts w:eastAsia="Times New Roman" w:cstheme="minorHAnsi"/>
          <w:sz w:val="20"/>
          <w:szCs w:val="20"/>
          <w:lang w:eastAsia="cs-CZ"/>
        </w:rPr>
        <w:t xml:space="preserve"> </w:t>
      </w:r>
      <w:r w:rsidRPr="00A45CD1">
        <w:rPr>
          <w:rFonts w:eastAsia="Times New Roman" w:cstheme="minorHAnsi"/>
          <w:sz w:val="20"/>
          <w:szCs w:val="20"/>
          <w:lang w:eastAsia="cs-CZ"/>
        </w:rPr>
        <w:t>nebo kontrole výroby, odbytu, technického vývoje nebo dalších investic.</w:t>
      </w:r>
    </w:p>
    <w:p w:rsidR="00A45CD1" w:rsidRDefault="00A45CD1" w:rsidP="00A45CD1">
      <w:pPr>
        <w:pStyle w:val="Odstavecseseznamem"/>
        <w:numPr>
          <w:ilvl w:val="0"/>
          <w:numId w:val="9"/>
        </w:numPr>
        <w:spacing w:after="0" w:line="240" w:lineRule="auto"/>
        <w:rPr>
          <w:rFonts w:eastAsia="Times New Roman" w:cstheme="minorHAnsi"/>
          <w:sz w:val="20"/>
          <w:szCs w:val="20"/>
          <w:lang w:eastAsia="cs-CZ"/>
        </w:rPr>
      </w:pPr>
      <w:r w:rsidRPr="00A45CD1">
        <w:rPr>
          <w:rFonts w:eastAsia="Times New Roman" w:cstheme="minorHAnsi"/>
          <w:sz w:val="20"/>
          <w:szCs w:val="20"/>
          <w:lang w:eastAsia="cs-CZ"/>
        </w:rPr>
        <w:t>Kartel rozdělení trhu</w:t>
      </w:r>
    </w:p>
    <w:p w:rsidR="00370F57" w:rsidRPr="00A45CD1" w:rsidRDefault="00A45CD1" w:rsidP="00A45CD1">
      <w:pPr>
        <w:pStyle w:val="Odstavecseseznamem"/>
        <w:numPr>
          <w:ilvl w:val="1"/>
          <w:numId w:val="9"/>
        </w:numPr>
        <w:spacing w:after="0" w:line="240" w:lineRule="auto"/>
        <w:rPr>
          <w:rFonts w:eastAsia="Times New Roman" w:cstheme="minorHAnsi"/>
          <w:sz w:val="20"/>
          <w:szCs w:val="20"/>
          <w:lang w:eastAsia="cs-CZ"/>
        </w:rPr>
      </w:pPr>
      <w:r w:rsidRPr="00A45CD1">
        <w:rPr>
          <w:rFonts w:eastAsia="Times New Roman" w:cstheme="minorHAnsi"/>
          <w:sz w:val="20"/>
          <w:szCs w:val="20"/>
          <w:lang w:eastAsia="cs-CZ"/>
        </w:rPr>
        <w:t>dohoda, v níž se jednotliví soutěžitelé navzájem dohodnou, že nebudou vystaveni konkurenčnímu boji tím způsobem, že každý z nich si ponechá určitou část trhu.</w:t>
      </w:r>
    </w:p>
    <w:p w:rsidR="00A45CD1" w:rsidRDefault="00A45CD1" w:rsidP="00A45CD1">
      <w:pPr>
        <w:pStyle w:val="Odstavecseseznamem"/>
        <w:numPr>
          <w:ilvl w:val="0"/>
          <w:numId w:val="9"/>
        </w:numPr>
        <w:spacing w:after="0" w:line="240" w:lineRule="auto"/>
        <w:rPr>
          <w:rFonts w:eastAsia="Times New Roman" w:cstheme="minorHAnsi"/>
          <w:sz w:val="20"/>
          <w:szCs w:val="20"/>
          <w:lang w:eastAsia="cs-CZ"/>
        </w:rPr>
      </w:pPr>
      <w:r w:rsidRPr="00A45CD1">
        <w:rPr>
          <w:rFonts w:eastAsia="Times New Roman" w:cstheme="minorHAnsi"/>
          <w:sz w:val="20"/>
          <w:szCs w:val="20"/>
          <w:lang w:eastAsia="cs-CZ"/>
        </w:rPr>
        <w:t>Kartel odběrový</w:t>
      </w:r>
    </w:p>
    <w:p w:rsidR="00370F57" w:rsidRDefault="00A45CD1" w:rsidP="00A45CD1">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závazek soutěžitel</w:t>
      </w:r>
      <w:r w:rsidRPr="00A45CD1">
        <w:rPr>
          <w:rFonts w:eastAsia="Times New Roman" w:cstheme="minorHAnsi"/>
          <w:sz w:val="20"/>
          <w:szCs w:val="20"/>
          <w:lang w:eastAsia="cs-CZ"/>
        </w:rPr>
        <w:t>ů vůči jinému, že uzavření smlouvy se třetí osobou bude podmíněné závazkem odebírat i další zboží, které s</w:t>
      </w:r>
      <w:r>
        <w:rPr>
          <w:rFonts w:eastAsia="Times New Roman" w:cstheme="minorHAnsi"/>
          <w:sz w:val="20"/>
          <w:szCs w:val="20"/>
          <w:lang w:eastAsia="cs-CZ"/>
        </w:rPr>
        <w:t> </w:t>
      </w:r>
      <w:r w:rsidRPr="00A45CD1">
        <w:rPr>
          <w:rFonts w:eastAsia="Times New Roman" w:cstheme="minorHAnsi"/>
          <w:sz w:val="20"/>
          <w:szCs w:val="20"/>
          <w:lang w:eastAsia="cs-CZ"/>
        </w:rPr>
        <w:t>požadovaným</w:t>
      </w:r>
      <w:r>
        <w:rPr>
          <w:rFonts w:eastAsia="Times New Roman" w:cstheme="minorHAnsi"/>
          <w:sz w:val="20"/>
          <w:szCs w:val="20"/>
          <w:lang w:eastAsia="cs-CZ"/>
        </w:rPr>
        <w:t xml:space="preserve"> </w:t>
      </w:r>
      <w:r w:rsidRPr="00A45CD1">
        <w:rPr>
          <w:rFonts w:eastAsia="Times New Roman" w:cstheme="minorHAnsi"/>
          <w:sz w:val="20"/>
          <w:szCs w:val="20"/>
          <w:lang w:eastAsia="cs-CZ"/>
        </w:rPr>
        <w:t>předm</w:t>
      </w:r>
      <w:r>
        <w:rPr>
          <w:rFonts w:eastAsia="Times New Roman" w:cstheme="minorHAnsi"/>
          <w:sz w:val="20"/>
          <w:szCs w:val="20"/>
          <w:lang w:eastAsia="cs-CZ"/>
        </w:rPr>
        <w:t>ětem plněním nesouvisí ani věcně, ani podle obchodních podmínek</w:t>
      </w:r>
    </w:p>
    <w:p w:rsidR="00A45CD1" w:rsidRDefault="00A45CD1" w:rsidP="00A45CD1">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kartel diskriminační</w:t>
      </w:r>
    </w:p>
    <w:p w:rsidR="00A45CD1" w:rsidRDefault="00A45CD1" w:rsidP="00A45CD1">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soutěžitelé se domluví na uplatňování diskriminační obchodní podmínky vůči jiným subjektům</w:t>
      </w:r>
    </w:p>
    <w:p w:rsidR="00A45CD1" w:rsidRDefault="00A45CD1" w:rsidP="00A45CD1">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kartel omezující přístup na trh</w:t>
      </w:r>
    </w:p>
    <w:p w:rsidR="00A45CD1" w:rsidRDefault="00A45CD1" w:rsidP="00A45CD1">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dohoda, kterou se soutěžitelé zavazují omezit přístup na trh podnikatelům, kteří nejsou členy dohody</w:t>
      </w:r>
    </w:p>
    <w:p w:rsidR="00A45CD1" w:rsidRDefault="00A45CD1" w:rsidP="00A45CD1">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výjimky ze zákazu kartelových dohod</w:t>
      </w:r>
    </w:p>
    <w:p w:rsidR="00A45CD1" w:rsidRPr="00A45CD1" w:rsidRDefault="00A45CD1" w:rsidP="00A45CD1">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bagatelní kartely, jednotné používání obchodních podmínek není-li v nich uvedena cena, nediskriminační marže</w:t>
      </w:r>
    </w:p>
    <w:p w:rsidR="005F16C1" w:rsidRPr="00BB5DEE" w:rsidRDefault="005F16C1" w:rsidP="00BB5DEE">
      <w:pPr>
        <w:pStyle w:val="Nadpis2"/>
        <w:spacing w:before="0"/>
        <w:rPr>
          <w:rFonts w:eastAsia="Times New Roman"/>
          <w:lang w:eastAsia="cs-CZ"/>
        </w:rPr>
      </w:pPr>
      <w:bookmarkStart w:id="59" w:name="_Toc282320173"/>
      <w:r w:rsidRPr="00BB5DEE">
        <w:rPr>
          <w:rFonts w:eastAsia="Times New Roman"/>
          <w:lang w:eastAsia="cs-CZ"/>
        </w:rPr>
        <w:t>c) zákaz zneužívání dominantního postavení</w:t>
      </w:r>
      <w:bookmarkEnd w:id="59"/>
      <w:r w:rsidRPr="00BB5DEE">
        <w:rPr>
          <w:rFonts w:eastAsia="Times New Roman"/>
          <w:lang w:eastAsia="cs-CZ"/>
        </w:rPr>
        <w:t xml:space="preserve"> </w:t>
      </w:r>
    </w:p>
    <w:p w:rsidR="009D0818" w:rsidRDefault="009D0818" w:rsidP="009D0818">
      <w:pPr>
        <w:pStyle w:val="Odstavecseseznamem"/>
        <w:numPr>
          <w:ilvl w:val="0"/>
          <w:numId w:val="9"/>
        </w:numPr>
        <w:spacing w:after="0" w:line="240" w:lineRule="auto"/>
        <w:rPr>
          <w:rFonts w:eastAsia="Times New Roman" w:cstheme="minorHAnsi"/>
          <w:sz w:val="20"/>
          <w:szCs w:val="20"/>
          <w:lang w:eastAsia="cs-CZ"/>
        </w:rPr>
      </w:pPr>
      <w:r w:rsidRPr="009D0818">
        <w:rPr>
          <w:rFonts w:eastAsia="Times New Roman" w:cstheme="minorHAnsi"/>
          <w:sz w:val="20"/>
          <w:szCs w:val="20"/>
          <w:lang w:eastAsia="cs-CZ"/>
        </w:rPr>
        <w:t xml:space="preserve">Za monopolní postavení podnikatele je považováno takové postavení, že podnikatel není vůbec vystaven hospodářské soutěži. </w:t>
      </w:r>
    </w:p>
    <w:p w:rsidR="009D0818" w:rsidRDefault="009D0818" w:rsidP="009D0818">
      <w:pPr>
        <w:pStyle w:val="Odstavecseseznamem"/>
        <w:numPr>
          <w:ilvl w:val="0"/>
          <w:numId w:val="9"/>
        </w:numPr>
        <w:spacing w:after="0" w:line="240" w:lineRule="auto"/>
        <w:rPr>
          <w:rFonts w:eastAsia="Times New Roman" w:cstheme="minorHAnsi"/>
          <w:sz w:val="20"/>
          <w:szCs w:val="20"/>
          <w:lang w:eastAsia="cs-CZ"/>
        </w:rPr>
      </w:pPr>
      <w:r w:rsidRPr="009D0818">
        <w:rPr>
          <w:rFonts w:eastAsia="Times New Roman" w:cstheme="minorHAnsi"/>
          <w:sz w:val="20"/>
          <w:szCs w:val="20"/>
          <w:lang w:eastAsia="cs-CZ"/>
        </w:rPr>
        <w:t xml:space="preserve">Podnikatel vystavený soutěži nepodstatně, je považován za podnikatele s dominantním postavením. </w:t>
      </w:r>
    </w:p>
    <w:p w:rsidR="009D0818" w:rsidRDefault="009D0818" w:rsidP="009D0818">
      <w:pPr>
        <w:pStyle w:val="Odstavecseseznamem"/>
        <w:numPr>
          <w:ilvl w:val="0"/>
          <w:numId w:val="9"/>
        </w:numPr>
        <w:spacing w:after="0" w:line="240" w:lineRule="auto"/>
        <w:rPr>
          <w:rFonts w:eastAsia="Times New Roman" w:cstheme="minorHAnsi"/>
          <w:sz w:val="20"/>
          <w:szCs w:val="20"/>
          <w:lang w:eastAsia="cs-CZ"/>
        </w:rPr>
      </w:pPr>
      <w:r w:rsidRPr="009D0818">
        <w:rPr>
          <w:rFonts w:eastAsia="Times New Roman" w:cstheme="minorHAnsi"/>
          <w:sz w:val="20"/>
          <w:szCs w:val="20"/>
          <w:lang w:eastAsia="cs-CZ"/>
        </w:rPr>
        <w:t xml:space="preserve">Za nepodstatné vystavení soutěži se považuje postavení podnikatele tehdy, pokud svými dodávkami pokrývá nejméně 30 % na relevantním trhu. </w:t>
      </w:r>
    </w:p>
    <w:p w:rsidR="00370F57" w:rsidRPr="009D0818" w:rsidRDefault="009D0818" w:rsidP="009D0818">
      <w:pPr>
        <w:pStyle w:val="Odstavecseseznamem"/>
        <w:numPr>
          <w:ilvl w:val="0"/>
          <w:numId w:val="9"/>
        </w:numPr>
        <w:spacing w:after="0" w:line="240" w:lineRule="auto"/>
        <w:rPr>
          <w:rFonts w:eastAsia="Times New Roman" w:cstheme="minorHAnsi"/>
          <w:sz w:val="20"/>
          <w:szCs w:val="20"/>
          <w:lang w:eastAsia="cs-CZ"/>
        </w:rPr>
      </w:pPr>
      <w:r w:rsidRPr="009D0818">
        <w:rPr>
          <w:rFonts w:eastAsia="Times New Roman" w:cstheme="minorHAnsi"/>
          <w:sz w:val="20"/>
          <w:szCs w:val="20"/>
          <w:lang w:eastAsia="cs-CZ"/>
        </w:rPr>
        <w:t xml:space="preserve">Obě postavení na trhu je </w:t>
      </w:r>
      <w:r>
        <w:rPr>
          <w:rFonts w:eastAsia="Times New Roman" w:cstheme="minorHAnsi"/>
          <w:sz w:val="20"/>
          <w:szCs w:val="20"/>
          <w:lang w:eastAsia="cs-CZ"/>
        </w:rPr>
        <w:t>zakázáno zneužít</w:t>
      </w:r>
    </w:p>
    <w:p w:rsidR="00370F57" w:rsidRDefault="009D0818"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Typické příklady zneužití postavení na trhu</w:t>
      </w:r>
    </w:p>
    <w:p w:rsidR="00370F57" w:rsidRDefault="009D0818"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Vynucování nepřiměřených kontraktačních podmínek</w:t>
      </w:r>
      <w:r w:rsidR="001D1AEA">
        <w:rPr>
          <w:rFonts w:eastAsia="Times New Roman" w:cstheme="minorHAnsi"/>
          <w:sz w:val="20"/>
          <w:szCs w:val="20"/>
          <w:lang w:eastAsia="cs-CZ"/>
        </w:rPr>
        <w:t xml:space="preserve"> – elektřina – úhrada dluhu po předchozím odběrateli</w:t>
      </w:r>
    </w:p>
    <w:p w:rsidR="009D0818" w:rsidRDefault="001D1AEA" w:rsidP="001D1AE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Vynucování vázaných odběrů – Fernet Stock pouze s jiným zbožím</w:t>
      </w:r>
    </w:p>
    <w:p w:rsidR="001D1AEA" w:rsidRDefault="001D1AEA" w:rsidP="001D1AEA">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Diskriminace jednotlivých soutěžitelů – Student Agency na Florenci</w:t>
      </w:r>
    </w:p>
    <w:p w:rsidR="001D1AEA" w:rsidRDefault="001D1AEA" w:rsidP="001D1AEA">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Rozsudek Chiquita</w:t>
      </w:r>
    </w:p>
    <w:p w:rsidR="001D1AEA" w:rsidRDefault="001D1AEA" w:rsidP="001D1AEA">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Otázka zaměnitelnosti jiného zboží – Chiquita předepisovala prodejcům, jaké banány smí prodávat – pokuta</w:t>
      </w:r>
    </w:p>
    <w:p w:rsidR="005F16C1" w:rsidRPr="00BB5DEE" w:rsidRDefault="005F16C1" w:rsidP="00BB5DEE">
      <w:pPr>
        <w:pStyle w:val="Nadpis2"/>
        <w:spacing w:before="0"/>
        <w:rPr>
          <w:rFonts w:eastAsia="Times New Roman"/>
          <w:lang w:eastAsia="cs-CZ"/>
        </w:rPr>
      </w:pPr>
      <w:bookmarkStart w:id="60" w:name="_Toc282320174"/>
      <w:r w:rsidRPr="00BB5DEE">
        <w:rPr>
          <w:rFonts w:eastAsia="Times New Roman"/>
          <w:lang w:eastAsia="cs-CZ"/>
        </w:rPr>
        <w:t>d) procesní aspekty</w:t>
      </w:r>
      <w:bookmarkEnd w:id="60"/>
      <w:r w:rsidRPr="00BB5DEE">
        <w:rPr>
          <w:rFonts w:eastAsia="Times New Roman"/>
          <w:lang w:eastAsia="cs-CZ"/>
        </w:rPr>
        <w:t xml:space="preserve"> </w:t>
      </w:r>
    </w:p>
    <w:p w:rsidR="00D32222" w:rsidRDefault="00D32222" w:rsidP="00D32222">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Politika shovívavosti</w:t>
      </w:r>
    </w:p>
    <w:p w:rsidR="00D32222" w:rsidRDefault="00D32222" w:rsidP="00D32222">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Soutěžitel, který se účastní kartelové dohody a dodá informace na svého partnera včetně důkazů</w:t>
      </w:r>
      <w:r w:rsidR="007176C7">
        <w:rPr>
          <w:rFonts w:eastAsia="Times New Roman" w:cstheme="minorHAnsi"/>
          <w:sz w:val="20"/>
          <w:szCs w:val="20"/>
          <w:lang w:eastAsia="cs-CZ"/>
        </w:rPr>
        <w:t>,</w:t>
      </w:r>
      <w:r>
        <w:rPr>
          <w:rFonts w:eastAsia="Times New Roman" w:cstheme="minorHAnsi"/>
          <w:sz w:val="20"/>
          <w:szCs w:val="20"/>
          <w:lang w:eastAsia="cs-CZ"/>
        </w:rPr>
        <w:t xml:space="preserve"> nebude potrestán</w:t>
      </w:r>
    </w:p>
    <w:p w:rsidR="00370F57" w:rsidRPr="00D32222" w:rsidRDefault="00D32222" w:rsidP="00D32222">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Dozorová činnost Evropské Komise</w:t>
      </w:r>
    </w:p>
    <w:p w:rsidR="005F16C1" w:rsidRPr="00BB5DEE" w:rsidRDefault="005F16C1" w:rsidP="00BB5DEE">
      <w:pPr>
        <w:pStyle w:val="Nadpis2"/>
        <w:spacing w:before="0"/>
        <w:rPr>
          <w:rFonts w:eastAsia="Times New Roman"/>
          <w:lang w:eastAsia="cs-CZ"/>
        </w:rPr>
      </w:pPr>
      <w:bookmarkStart w:id="61" w:name="_Toc282320175"/>
      <w:r w:rsidRPr="00BB5DEE">
        <w:rPr>
          <w:rFonts w:eastAsia="Times New Roman"/>
          <w:lang w:eastAsia="cs-CZ"/>
        </w:rPr>
        <w:t>e) vybrané politiky EU</w:t>
      </w:r>
      <w:bookmarkEnd w:id="61"/>
      <w:r w:rsidRPr="00BB5DEE">
        <w:rPr>
          <w:rFonts w:eastAsia="Times New Roman"/>
          <w:lang w:eastAsia="cs-CZ"/>
        </w:rPr>
        <w:t xml:space="preserve"> </w:t>
      </w:r>
    </w:p>
    <w:p w:rsidR="00370F57" w:rsidRDefault="00D32222"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Společná zemědělská politika</w:t>
      </w:r>
    </w:p>
    <w:p w:rsidR="00370F57" w:rsidRDefault="00D32222"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Volný pohyb zemědělských výrobků</w:t>
      </w:r>
    </w:p>
    <w:p w:rsidR="00D32222" w:rsidRDefault="00D32222"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Finanční podpora regionu, zemědělských produktů a rolnických činností</w:t>
      </w:r>
    </w:p>
    <w:p w:rsidR="00370F57" w:rsidRDefault="007176C7" w:rsidP="007176C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Dopravní politika</w:t>
      </w:r>
    </w:p>
    <w:p w:rsidR="007176C7" w:rsidRDefault="007176C7" w:rsidP="007176C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Zvyšování bezpečnosti v dopravě, zavádění jednotných pravidel pro mezinárodní dopravu</w:t>
      </w:r>
    </w:p>
    <w:p w:rsidR="007176C7" w:rsidRDefault="007176C7" w:rsidP="007176C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Politika ochrany spotřebitele</w:t>
      </w:r>
    </w:p>
    <w:p w:rsidR="007176C7" w:rsidRDefault="007176C7" w:rsidP="007176C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Politika životního prostředí</w:t>
      </w:r>
    </w:p>
    <w:p w:rsidR="005F16C1" w:rsidRPr="007176C7" w:rsidRDefault="007176C7" w:rsidP="009C50F4">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Stala se součástí primárního práva + princip předběžné opatrnosti</w:t>
      </w:r>
    </w:p>
    <w:p w:rsidR="005F16C1" w:rsidRPr="00BB5DEE" w:rsidRDefault="005F16C1" w:rsidP="00BB5DEE">
      <w:pPr>
        <w:pStyle w:val="Nadpis1"/>
        <w:rPr>
          <w:rFonts w:eastAsia="Times New Roman"/>
          <w:lang w:eastAsia="cs-CZ"/>
        </w:rPr>
      </w:pPr>
      <w:bookmarkStart w:id="62" w:name="_Toc282320176"/>
      <w:r w:rsidRPr="00BB5DEE">
        <w:rPr>
          <w:rFonts w:eastAsia="Times New Roman"/>
          <w:lang w:eastAsia="cs-CZ"/>
        </w:rPr>
        <w:lastRenderedPageBreak/>
        <w:t>14. SZBP - společná zahraniční a bezpečnostní politika EU</w:t>
      </w:r>
      <w:bookmarkEnd w:id="62"/>
      <w:r w:rsidRPr="00BB5DEE">
        <w:rPr>
          <w:rFonts w:eastAsia="Times New Roman"/>
          <w:lang w:eastAsia="cs-CZ"/>
        </w:rPr>
        <w:t xml:space="preserve"> </w:t>
      </w:r>
    </w:p>
    <w:p w:rsidR="005F16C1" w:rsidRPr="00BB5DEE" w:rsidRDefault="005F16C1" w:rsidP="00BB5DEE">
      <w:pPr>
        <w:pStyle w:val="Nadpis2"/>
        <w:spacing w:before="0"/>
        <w:rPr>
          <w:rFonts w:eastAsia="Times New Roman"/>
          <w:lang w:eastAsia="cs-CZ"/>
        </w:rPr>
      </w:pPr>
      <w:bookmarkStart w:id="63" w:name="_Toc282320177"/>
      <w:r w:rsidRPr="00BB5DEE">
        <w:rPr>
          <w:rFonts w:eastAsia="Times New Roman"/>
          <w:lang w:eastAsia="cs-CZ"/>
        </w:rPr>
        <w:t>a) zvláštní statut SZBP</w:t>
      </w:r>
      <w:bookmarkEnd w:id="63"/>
      <w:r w:rsidRPr="00BB5DEE">
        <w:rPr>
          <w:rFonts w:eastAsia="Times New Roman"/>
          <w:lang w:eastAsia="cs-CZ"/>
        </w:rPr>
        <w:t xml:space="preserve"> </w:t>
      </w:r>
    </w:p>
    <w:p w:rsidR="00370F57" w:rsidRDefault="004D17EE"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mezivládní spolupráce, kde převládají výlučné pravomoci členských států</w:t>
      </w:r>
    </w:p>
    <w:p w:rsidR="004D17EE" w:rsidRDefault="00CF67CF" w:rsidP="00CF67C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hlasuje se jednomyslně</w:t>
      </w:r>
    </w:p>
    <w:p w:rsidR="00CF67CF" w:rsidRDefault="00CF67CF" w:rsidP="00CF67C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členské státy sdílí určité pravomoci s EU</w:t>
      </w:r>
    </w:p>
    <w:p w:rsidR="00CF67CF" w:rsidRDefault="00CF67CF" w:rsidP="00CF67C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Evropská komise není klíčovou institucí pro SZBP – SZBP patří k vnějším činnostem EU</w:t>
      </w:r>
    </w:p>
    <w:p w:rsidR="00CF67CF" w:rsidRDefault="00CF67CF" w:rsidP="00CF67C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Nejsou přijímány legislativní akty, ale nástroje jako je „vymezení obecných směrů SZBP, rozhodnutí vymezující akce, postoje EU, posilování systematické spolupráce …</w:t>
      </w:r>
    </w:p>
    <w:p w:rsidR="00370F57" w:rsidRDefault="00073001" w:rsidP="00073001">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Zřízena funkce Vysokého představitele Unie pro zahraniční věci a bezpečnostní politiku</w:t>
      </w:r>
    </w:p>
    <w:p w:rsidR="00073001" w:rsidRDefault="00073001" w:rsidP="00073001">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Spojená funkce s obligatorním místopředsedou Evropské komise</w:t>
      </w:r>
    </w:p>
    <w:p w:rsidR="00370F57" w:rsidRDefault="00073001"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Čímž se oba orgány propojily</w:t>
      </w:r>
    </w:p>
    <w:p w:rsidR="00073001" w:rsidRDefault="00073001" w:rsidP="00073001">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Při plnění funkce se vysoký představitel bude opírat o nově zřizovanou Evropskou službu pro vnější činnost (diplomatický servis)</w:t>
      </w:r>
    </w:p>
    <w:p w:rsidR="00073001" w:rsidRDefault="00073001" w:rsidP="00073001">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 SZBP nemá SD EU pravomoci jako v jiných oblastech</w:t>
      </w:r>
    </w:p>
    <w:p w:rsidR="00073001" w:rsidRDefault="00073001" w:rsidP="00073001">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Nemůže přezkoumávat akty přijaté v rámci SZBP, pouze může posuzovat legalitu přijímaných sankcí vůči jednotlivcům</w:t>
      </w:r>
    </w:p>
    <w:p w:rsidR="005F16C1" w:rsidRPr="00BB5DEE" w:rsidRDefault="005F16C1" w:rsidP="00BB5DEE">
      <w:pPr>
        <w:pStyle w:val="Nadpis2"/>
        <w:spacing w:before="0"/>
        <w:rPr>
          <w:rFonts w:eastAsia="Times New Roman"/>
          <w:lang w:eastAsia="cs-CZ"/>
        </w:rPr>
      </w:pPr>
      <w:bookmarkStart w:id="64" w:name="_Toc282320178"/>
      <w:r w:rsidRPr="00BB5DEE">
        <w:rPr>
          <w:rFonts w:eastAsia="Times New Roman"/>
          <w:lang w:eastAsia="cs-CZ"/>
        </w:rPr>
        <w:t>b) společná bezpečnostní a obranná politika</w:t>
      </w:r>
      <w:bookmarkEnd w:id="64"/>
      <w:r w:rsidRPr="00BB5DEE">
        <w:rPr>
          <w:rFonts w:eastAsia="Times New Roman"/>
          <w:lang w:eastAsia="cs-CZ"/>
        </w:rPr>
        <w:t xml:space="preserve"> </w:t>
      </w:r>
    </w:p>
    <w:p w:rsidR="00370F57" w:rsidRDefault="007D51F3"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Spolupráce v oblasti vojenství a zvládání krizí</w:t>
      </w:r>
    </w:p>
    <w:p w:rsidR="007D51F3" w:rsidRDefault="007D51F3"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Evropská bezpečnostní strategie</w:t>
      </w:r>
    </w:p>
    <w:p w:rsidR="001359B9" w:rsidRDefault="001359B9" w:rsidP="001359B9">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Terorismus</w:t>
      </w:r>
    </w:p>
    <w:p w:rsidR="001359B9" w:rsidRDefault="001359B9" w:rsidP="001359B9">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Šíření zbraní hromadného ničení</w:t>
      </w:r>
    </w:p>
    <w:p w:rsidR="001359B9" w:rsidRDefault="001359B9" w:rsidP="001359B9">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Regionální konflikty</w:t>
      </w:r>
    </w:p>
    <w:p w:rsidR="001359B9" w:rsidRDefault="001359B9" w:rsidP="001359B9">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Selhání státu - korupce</w:t>
      </w:r>
    </w:p>
    <w:p w:rsidR="001359B9" w:rsidRDefault="001359B9" w:rsidP="001359B9">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Organizovaný zločin</w:t>
      </w:r>
    </w:p>
    <w:p w:rsidR="007D51F3" w:rsidRDefault="007D51F3"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Uzlem celé SBOP je politický a bezpečnostní výbor COPS</w:t>
      </w:r>
    </w:p>
    <w:p w:rsidR="001359B9" w:rsidRDefault="001359B9" w:rsidP="001359B9">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Diplomaté, schází se 2x týdně, nejsou krizovými manažery</w:t>
      </w:r>
    </w:p>
    <w:p w:rsidR="007D51F3" w:rsidRDefault="007D51F3" w:rsidP="001359B9">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Rozhoduje Rada pro vnější vztahy</w:t>
      </w:r>
    </w:p>
    <w:p w:rsidR="00370F57" w:rsidRDefault="001359B9" w:rsidP="001359B9">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Vojenský výbor</w:t>
      </w:r>
    </w:p>
    <w:p w:rsidR="001359B9" w:rsidRDefault="001359B9" w:rsidP="001359B9">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Výbor pro civilní aspekty řízení krizí</w:t>
      </w:r>
    </w:p>
    <w:p w:rsidR="00370F57" w:rsidRPr="00F81C1F" w:rsidRDefault="001359B9" w:rsidP="00F81C1F">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Asistuje při civilních operacích</w:t>
      </w:r>
    </w:p>
    <w:p w:rsidR="005F16C1" w:rsidRPr="00BB5DEE" w:rsidRDefault="005F16C1" w:rsidP="00BB5DEE">
      <w:pPr>
        <w:pStyle w:val="Nadpis2"/>
        <w:spacing w:before="0"/>
        <w:rPr>
          <w:rFonts w:eastAsia="Times New Roman"/>
          <w:lang w:eastAsia="cs-CZ"/>
        </w:rPr>
      </w:pPr>
      <w:bookmarkStart w:id="65" w:name="_Toc282320179"/>
      <w:r w:rsidRPr="00BB5DEE">
        <w:rPr>
          <w:rFonts w:eastAsia="Times New Roman"/>
          <w:lang w:eastAsia="cs-CZ"/>
        </w:rPr>
        <w:t>c) příklady společných akcí</w:t>
      </w:r>
      <w:bookmarkEnd w:id="65"/>
      <w:r w:rsidRPr="00BB5DEE">
        <w:rPr>
          <w:rFonts w:eastAsia="Times New Roman"/>
          <w:lang w:eastAsia="cs-CZ"/>
        </w:rPr>
        <w:t xml:space="preserve"> </w:t>
      </w:r>
    </w:p>
    <w:p w:rsidR="00370F57" w:rsidRDefault="004D17EE" w:rsidP="00370F57">
      <w:pPr>
        <w:pStyle w:val="Odstavecseseznamem"/>
        <w:numPr>
          <w:ilvl w:val="0"/>
          <w:numId w:val="9"/>
        </w:numPr>
        <w:spacing w:after="0" w:line="240" w:lineRule="auto"/>
        <w:rPr>
          <w:rFonts w:eastAsia="Times New Roman" w:cstheme="minorHAnsi"/>
          <w:sz w:val="20"/>
          <w:szCs w:val="20"/>
          <w:lang w:eastAsia="cs-CZ"/>
        </w:rPr>
      </w:pPr>
      <w:r w:rsidRPr="004D17EE">
        <w:rPr>
          <w:rFonts w:eastAsia="Times New Roman" w:cstheme="minorHAnsi"/>
          <w:sz w:val="20"/>
          <w:szCs w:val="20"/>
          <w:lang w:eastAsia="cs-CZ"/>
        </w:rPr>
        <w:t>koordinovanou akci členských států, při které jsou mobilizovány veškeré dosažitelné prostředky (lidské zdroje, know-how, finanční zdroje, vybavení, atd.) k dosažení cílů stanovených Radou na základě obecných pokynů Evropské rady</w:t>
      </w:r>
      <w:r w:rsidR="00370F57">
        <w:rPr>
          <w:rFonts w:eastAsia="Times New Roman" w:cstheme="minorHAnsi"/>
          <w:sz w:val="20"/>
          <w:szCs w:val="20"/>
          <w:lang w:eastAsia="cs-CZ"/>
        </w:rPr>
        <w:t>.</w:t>
      </w:r>
    </w:p>
    <w:p w:rsidR="00370F57" w:rsidRDefault="004D17EE"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Společná akce na hranicích na hraničním přechodu Rafáh</w:t>
      </w:r>
    </w:p>
    <w:p w:rsidR="004D17EE" w:rsidRDefault="004D17EE"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Concordia – Makedonie</w:t>
      </w:r>
    </w:p>
    <w:p w:rsidR="004D17EE" w:rsidRDefault="004D17EE"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Artemis – vojenská operace v Kongu</w:t>
      </w:r>
    </w:p>
    <w:p w:rsidR="004D17EE" w:rsidRDefault="004D17EE"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EUPM – policejní mise v Bosně a Hercegovině…</w:t>
      </w:r>
    </w:p>
    <w:p w:rsidR="00370F57" w:rsidRPr="004D17EE" w:rsidRDefault="00370F57" w:rsidP="004D17EE">
      <w:pPr>
        <w:spacing w:after="0" w:line="240" w:lineRule="auto"/>
        <w:rPr>
          <w:rFonts w:eastAsia="Times New Roman" w:cstheme="minorHAnsi"/>
          <w:sz w:val="20"/>
          <w:szCs w:val="20"/>
          <w:lang w:eastAsia="cs-CZ"/>
        </w:rPr>
      </w:pPr>
    </w:p>
    <w:p w:rsidR="005F16C1" w:rsidRPr="009C50F4" w:rsidRDefault="005F16C1" w:rsidP="009C50F4">
      <w:pPr>
        <w:spacing w:after="0" w:line="240" w:lineRule="auto"/>
        <w:rPr>
          <w:rFonts w:eastAsia="Times New Roman" w:cstheme="minorHAnsi"/>
          <w:sz w:val="20"/>
          <w:szCs w:val="20"/>
          <w:lang w:eastAsia="cs-CZ"/>
        </w:rPr>
      </w:pPr>
      <w:r w:rsidRPr="009C50F4">
        <w:rPr>
          <w:rFonts w:eastAsia="Times New Roman" w:cstheme="minorHAnsi"/>
          <w:sz w:val="20"/>
          <w:szCs w:val="20"/>
          <w:lang w:eastAsia="cs-CZ"/>
        </w:rPr>
        <w:br w:type="page"/>
      </w:r>
    </w:p>
    <w:p w:rsidR="005F16C1" w:rsidRPr="00BB5DEE" w:rsidRDefault="005F16C1" w:rsidP="00BB5DEE">
      <w:pPr>
        <w:pStyle w:val="Nadpis1"/>
        <w:rPr>
          <w:rFonts w:eastAsia="Times New Roman"/>
          <w:lang w:eastAsia="cs-CZ"/>
        </w:rPr>
      </w:pPr>
      <w:bookmarkStart w:id="66" w:name="_Toc282320180"/>
      <w:r w:rsidRPr="00BB5DEE">
        <w:rPr>
          <w:rFonts w:eastAsia="Times New Roman"/>
          <w:lang w:eastAsia="cs-CZ"/>
        </w:rPr>
        <w:lastRenderedPageBreak/>
        <w:t>15. Policejní a justiční spolupráce v trestních věcech</w:t>
      </w:r>
      <w:bookmarkEnd w:id="66"/>
      <w:r w:rsidRPr="00BB5DEE">
        <w:rPr>
          <w:rFonts w:eastAsia="Times New Roman"/>
          <w:lang w:eastAsia="cs-CZ"/>
        </w:rPr>
        <w:t xml:space="preserve"> </w:t>
      </w:r>
    </w:p>
    <w:p w:rsidR="000F0CFC" w:rsidRDefault="000F0CFC" w:rsidP="000F0CFC">
      <w:pPr>
        <w:pStyle w:val="Odstavecseseznamem"/>
        <w:numPr>
          <w:ilvl w:val="0"/>
          <w:numId w:val="9"/>
        </w:numPr>
        <w:spacing w:after="0" w:line="240" w:lineRule="auto"/>
        <w:rPr>
          <w:rFonts w:eastAsia="Times New Roman" w:cstheme="minorHAnsi"/>
          <w:sz w:val="20"/>
          <w:szCs w:val="20"/>
          <w:lang w:eastAsia="cs-CZ"/>
        </w:rPr>
      </w:pPr>
      <w:bookmarkStart w:id="67" w:name="_Toc282320181"/>
      <w:r>
        <w:rPr>
          <w:rFonts w:eastAsia="Times New Roman" w:cstheme="minorHAnsi"/>
          <w:sz w:val="20"/>
          <w:szCs w:val="20"/>
          <w:lang w:eastAsia="cs-CZ"/>
        </w:rPr>
        <w:t>Zánikem pilířové struktury se oblast policejní a justiční spolupráce stává součástí unijních pravomocí</w:t>
      </w:r>
    </w:p>
    <w:p w:rsidR="000F0CFC" w:rsidRDefault="000F0CFC" w:rsidP="000F0CFC">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Přesun z mezivládní do unijní formy znamená změnu ve schvalovacích procedurách</w:t>
      </w:r>
    </w:p>
    <w:p w:rsidR="000F0CFC" w:rsidRDefault="000F0CFC" w:rsidP="000F0CFC">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Změna jednomyslného hlasování v Radě k hlasování kvalifikovanou většinou v řádném legislativním</w:t>
      </w:r>
      <w:r w:rsidR="00CC149A">
        <w:rPr>
          <w:rFonts w:eastAsia="Times New Roman" w:cstheme="minorHAnsi"/>
          <w:sz w:val="20"/>
          <w:szCs w:val="20"/>
          <w:lang w:eastAsia="cs-CZ"/>
        </w:rPr>
        <w:t xml:space="preserve"> </w:t>
      </w:r>
      <w:r>
        <w:rPr>
          <w:rFonts w:eastAsia="Times New Roman" w:cstheme="minorHAnsi"/>
          <w:sz w:val="20"/>
          <w:szCs w:val="20"/>
          <w:lang w:eastAsia="cs-CZ"/>
        </w:rPr>
        <w:t>procesu</w:t>
      </w:r>
    </w:p>
    <w:p w:rsidR="000F0CFC" w:rsidRDefault="000F0CFC" w:rsidP="000F0CFC">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 spolurozhodování EP</w:t>
      </w:r>
    </w:p>
    <w:p w:rsidR="0049627B" w:rsidRDefault="0049627B" w:rsidP="0049627B">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Trestní právo zůstalo ve výlučné pravomoci členských států</w:t>
      </w:r>
      <w:r w:rsidR="00AA79E8">
        <w:rPr>
          <w:rFonts w:eastAsia="Times New Roman" w:cstheme="minorHAnsi"/>
          <w:sz w:val="20"/>
          <w:szCs w:val="20"/>
          <w:lang w:eastAsia="cs-CZ"/>
        </w:rPr>
        <w:t xml:space="preserve"> a nesmí být vykonáváno v rozporu se základními svobodami</w:t>
      </w:r>
    </w:p>
    <w:p w:rsidR="00C879AB" w:rsidRDefault="00C879AB" w:rsidP="0049627B">
      <w:pPr>
        <w:pStyle w:val="Odstavecseseznamem"/>
        <w:numPr>
          <w:ilvl w:val="0"/>
          <w:numId w:val="9"/>
        </w:numPr>
        <w:spacing w:after="0" w:line="240" w:lineRule="auto"/>
        <w:rPr>
          <w:rFonts w:eastAsia="Times New Roman" w:cstheme="minorHAnsi"/>
          <w:sz w:val="20"/>
          <w:szCs w:val="20"/>
          <w:lang w:eastAsia="cs-CZ"/>
        </w:rPr>
      </w:pPr>
      <w:r w:rsidRPr="00C879AB">
        <w:rPr>
          <w:rFonts w:eastAsia="Times New Roman" w:cstheme="minorHAnsi"/>
          <w:sz w:val="20"/>
          <w:szCs w:val="20"/>
          <w:lang w:eastAsia="cs-CZ"/>
        </w:rPr>
        <w:t xml:space="preserve">Jednotlivé politiky justice a </w:t>
      </w:r>
      <w:r>
        <w:rPr>
          <w:rFonts w:eastAsia="Times New Roman" w:cstheme="minorHAnsi"/>
          <w:sz w:val="20"/>
          <w:szCs w:val="20"/>
          <w:lang w:eastAsia="cs-CZ"/>
        </w:rPr>
        <w:t xml:space="preserve">policie </w:t>
      </w:r>
      <w:r w:rsidRPr="00C879AB">
        <w:rPr>
          <w:rFonts w:eastAsia="Times New Roman" w:cstheme="minorHAnsi"/>
          <w:sz w:val="20"/>
          <w:szCs w:val="20"/>
          <w:lang w:eastAsia="cs-CZ"/>
        </w:rPr>
        <w:t>jsou sloučeny do hlavy V</w:t>
      </w:r>
      <w:r>
        <w:rPr>
          <w:rFonts w:eastAsia="Times New Roman" w:cstheme="minorHAnsi"/>
          <w:sz w:val="20"/>
          <w:szCs w:val="20"/>
          <w:lang w:eastAsia="cs-CZ"/>
        </w:rPr>
        <w:t xml:space="preserve">. SFEU </w:t>
      </w:r>
      <w:r w:rsidRPr="00C879AB">
        <w:rPr>
          <w:rFonts w:eastAsia="Times New Roman" w:cstheme="minorHAnsi"/>
          <w:sz w:val="20"/>
          <w:szCs w:val="20"/>
          <w:lang w:eastAsia="cs-CZ"/>
        </w:rPr>
        <w:t xml:space="preserve"> s názvem „prostor svobody, bezpečnosti a práv</w:t>
      </w:r>
      <w:r>
        <w:rPr>
          <w:rFonts w:eastAsia="Times New Roman" w:cstheme="minorHAnsi"/>
          <w:sz w:val="20"/>
          <w:szCs w:val="20"/>
          <w:lang w:eastAsia="cs-CZ"/>
        </w:rPr>
        <w:t>“</w:t>
      </w:r>
    </w:p>
    <w:p w:rsidR="005F16C1" w:rsidRPr="00BB5DEE" w:rsidRDefault="005F16C1" w:rsidP="00BB5DEE">
      <w:pPr>
        <w:pStyle w:val="Nadpis2"/>
        <w:spacing w:before="0"/>
        <w:rPr>
          <w:rFonts w:eastAsia="Times New Roman"/>
          <w:lang w:eastAsia="cs-CZ"/>
        </w:rPr>
      </w:pPr>
      <w:r w:rsidRPr="00BB5DEE">
        <w:rPr>
          <w:rFonts w:eastAsia="Times New Roman"/>
          <w:lang w:eastAsia="cs-CZ"/>
        </w:rPr>
        <w:t>a) policejní spolupráce v trestních věcech</w:t>
      </w:r>
      <w:bookmarkEnd w:id="67"/>
      <w:r w:rsidRPr="00BB5DEE">
        <w:rPr>
          <w:rFonts w:eastAsia="Times New Roman"/>
          <w:lang w:eastAsia="cs-CZ"/>
        </w:rPr>
        <w:t xml:space="preserve"> </w:t>
      </w:r>
      <w:r w:rsidR="005A6B1A">
        <w:rPr>
          <w:rFonts w:eastAsia="Times New Roman"/>
          <w:lang w:eastAsia="cs-CZ"/>
        </w:rPr>
        <w:t xml:space="preserve">; </w:t>
      </w:r>
      <w:bookmarkStart w:id="68" w:name="_Toc282320182"/>
      <w:r w:rsidRPr="00BB5DEE">
        <w:rPr>
          <w:rFonts w:eastAsia="Times New Roman"/>
          <w:lang w:eastAsia="cs-CZ"/>
        </w:rPr>
        <w:t>b) justiční spolupráce v trestních věcech</w:t>
      </w:r>
      <w:bookmarkEnd w:id="68"/>
      <w:r w:rsidRPr="00BB5DEE">
        <w:rPr>
          <w:rFonts w:eastAsia="Times New Roman"/>
          <w:lang w:eastAsia="cs-CZ"/>
        </w:rPr>
        <w:t xml:space="preserve"> </w:t>
      </w:r>
    </w:p>
    <w:p w:rsidR="00370F57" w:rsidRDefault="000F0CFC"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Pravomoci SD EU </w:t>
      </w:r>
    </w:p>
    <w:p w:rsidR="00370F57" w:rsidRDefault="00CC149A"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Pro předběžné otázky platí obecná pravidla jako u jiných předběžných otázek</w:t>
      </w:r>
    </w:p>
    <w:p w:rsidR="00CC149A" w:rsidRDefault="00CC149A"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SD přezkoumává legalitu směrnic a nařízení přijatých v této oblasti podle obecné úpravy SFEU</w:t>
      </w:r>
    </w:p>
    <w:p w:rsidR="00370F57" w:rsidRDefault="00CC149A" w:rsidP="00370F57">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SD nemá pravomoc přezkoumávat platnost a přiměřenost prováděných operací prováděných policií</w:t>
      </w:r>
      <w:r w:rsidR="0049627B">
        <w:rPr>
          <w:rFonts w:eastAsia="Times New Roman" w:cstheme="minorHAnsi"/>
          <w:sz w:val="20"/>
          <w:szCs w:val="20"/>
          <w:lang w:eastAsia="cs-CZ"/>
        </w:rPr>
        <w:t xml:space="preserve"> nebo jinými donucovacími orgány členského státu, ani rozhodovat o odpovědnosti za udržování veřejného pořádku a ochranu vnitřní bezpečnosti</w:t>
      </w:r>
    </w:p>
    <w:p w:rsidR="0049627B" w:rsidRDefault="0049627B" w:rsidP="0049627B">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Vedle Komise mohou legislativní návrhy také členské státy</w:t>
      </w:r>
    </w:p>
    <w:p w:rsidR="005F16C1" w:rsidRPr="00BB5DEE" w:rsidRDefault="005F16C1" w:rsidP="00BB5DEE">
      <w:pPr>
        <w:pStyle w:val="Nadpis2"/>
        <w:spacing w:before="0"/>
        <w:rPr>
          <w:rFonts w:eastAsia="Times New Roman"/>
          <w:lang w:eastAsia="cs-CZ"/>
        </w:rPr>
      </w:pPr>
      <w:bookmarkStart w:id="69" w:name="_Toc282320183"/>
      <w:r w:rsidRPr="00BB5DEE">
        <w:rPr>
          <w:rFonts w:eastAsia="Times New Roman"/>
          <w:lang w:eastAsia="cs-CZ"/>
        </w:rPr>
        <w:t>c) Europol, Eurojust, Úřad evropského veřejného žalobce</w:t>
      </w:r>
      <w:bookmarkEnd w:id="69"/>
      <w:r w:rsidRPr="00BB5DEE">
        <w:rPr>
          <w:rFonts w:eastAsia="Times New Roman"/>
          <w:lang w:eastAsia="cs-CZ"/>
        </w:rPr>
        <w:t xml:space="preserve"> </w:t>
      </w:r>
    </w:p>
    <w:p w:rsidR="00637053" w:rsidRDefault="00637053"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Eurojust</w:t>
      </w:r>
    </w:p>
    <w:p w:rsidR="00370F57" w:rsidRDefault="00887015" w:rsidP="0063705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Orgán soudní spolupráce, složený ze zástupců čl. států</w:t>
      </w:r>
    </w:p>
    <w:p w:rsidR="00370F57" w:rsidRDefault="00887015"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Má právní subjektivitu</w:t>
      </w:r>
    </w:p>
    <w:p w:rsidR="00370F57" w:rsidRDefault="00BC4AD8" w:rsidP="00BC4AD8">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Úkolem Eurojustu je podporovat a zdokonalovat koordinaci mezi vnitrostátními orgány v souvislosti s vyšetřováním a trestním stíháním, které se týká dvou a více členských států</w:t>
      </w:r>
    </w:p>
    <w:p w:rsidR="00BC4AD8" w:rsidRDefault="00BC4AD8" w:rsidP="00BC4AD8">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Zdokonalovat spolupráci díky zprostředkování mezinárodní právní pomoci a provádění Eurozatykačů</w:t>
      </w:r>
    </w:p>
    <w:p w:rsidR="00BC4AD8" w:rsidRDefault="00BC4AD8" w:rsidP="00BC4AD8">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Zlepšuje efektivnost vyšetřování a trestního stíhání</w:t>
      </w:r>
    </w:p>
    <w:p w:rsidR="00BC4AD8" w:rsidRDefault="00BC4AD8" w:rsidP="00BC4AD8">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Spolupracuje s Evropskou soudní sítí, Europolem a úřadem OLAF</w:t>
      </w:r>
    </w:p>
    <w:p w:rsidR="00BC4AD8" w:rsidRDefault="00BC4AD8" w:rsidP="00BC4AD8">
      <w:pPr>
        <w:pStyle w:val="Odstavecseseznamem"/>
        <w:numPr>
          <w:ilvl w:val="2"/>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OLAF = </w:t>
      </w:r>
      <w:r w:rsidRPr="00BC4AD8">
        <w:rPr>
          <w:rFonts w:eastAsia="Times New Roman" w:cstheme="minorHAnsi"/>
          <w:sz w:val="20"/>
          <w:szCs w:val="20"/>
          <w:lang w:eastAsia="cs-CZ"/>
        </w:rPr>
        <w:t>Evropský úřad pro potírání podvodných jednání</w:t>
      </w:r>
    </w:p>
    <w:p w:rsidR="00BC4AD8" w:rsidRDefault="00BC4AD8" w:rsidP="00BC4AD8">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Nástroj administrativního vyšetřování Komise k zajištění ochrany finančních zájmů EU</w:t>
      </w:r>
    </w:p>
    <w:p w:rsidR="00BC4AD8" w:rsidRDefault="00BC4AD8" w:rsidP="00BC4AD8">
      <w:pPr>
        <w:pStyle w:val="Odstavecseseznamem"/>
        <w:numPr>
          <w:ilvl w:val="3"/>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Orgán vnitřního a vnějšího vyšetřování</w:t>
      </w:r>
    </w:p>
    <w:p w:rsidR="00BC4AD8" w:rsidRDefault="00BC4AD8" w:rsidP="00BC4AD8">
      <w:pPr>
        <w:pStyle w:val="Odstavecseseznamem"/>
        <w:numPr>
          <w:ilvl w:val="4"/>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Právo okamžitého a předem neoznámeného </w:t>
      </w:r>
      <w:r w:rsidR="008F5004">
        <w:rPr>
          <w:rFonts w:eastAsia="Times New Roman" w:cstheme="minorHAnsi"/>
          <w:sz w:val="20"/>
          <w:szCs w:val="20"/>
          <w:lang w:eastAsia="cs-CZ"/>
        </w:rPr>
        <w:t xml:space="preserve">přístupu k jakékoliv informaci, právo </w:t>
      </w:r>
    </w:p>
    <w:p w:rsidR="008F5004" w:rsidRDefault="008F5004" w:rsidP="00BC4AD8">
      <w:pPr>
        <w:pStyle w:val="Odstavecseseznamem"/>
        <w:numPr>
          <w:ilvl w:val="4"/>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Je oprávněn provést inspekci bankovních účtů, obdržet kopii jakéhokoliv dokumentu</w:t>
      </w:r>
    </w:p>
    <w:p w:rsidR="00771359" w:rsidRDefault="00771359" w:rsidP="00771359">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Úřad evropského veřejného žalobce</w:t>
      </w:r>
    </w:p>
    <w:p w:rsidR="00771359" w:rsidRDefault="00771359" w:rsidP="00771359">
      <w:pPr>
        <w:pStyle w:val="Odstavecseseznamem"/>
        <w:numPr>
          <w:ilvl w:val="1"/>
          <w:numId w:val="9"/>
        </w:numPr>
        <w:spacing w:after="0" w:line="240" w:lineRule="auto"/>
        <w:rPr>
          <w:rFonts w:eastAsia="Times New Roman" w:cstheme="minorHAnsi"/>
          <w:sz w:val="20"/>
          <w:szCs w:val="20"/>
          <w:lang w:eastAsia="cs-CZ"/>
        </w:rPr>
      </w:pPr>
      <w:r w:rsidRPr="00771359">
        <w:rPr>
          <w:rFonts w:eastAsia="Times New Roman" w:cstheme="minorHAnsi"/>
          <w:sz w:val="20"/>
          <w:szCs w:val="20"/>
          <w:lang w:eastAsia="cs-CZ"/>
        </w:rPr>
        <w:t>odpovědným za vyšetřování, trestní stíhání, podání obžaloby, zastupování obžaloby v hlavním líčení a výkon rozsudků týkajících se taxativně definovaných trestných činů proti financím Evropských společenství</w:t>
      </w:r>
    </w:p>
    <w:p w:rsidR="00771359" w:rsidRDefault="00771359" w:rsidP="00771359">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čl. 86 SFEU – může být vytvořen z Eurojustu</w:t>
      </w:r>
    </w:p>
    <w:p w:rsidR="008F5004" w:rsidRDefault="008F5004" w:rsidP="008F5004">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Europol</w:t>
      </w:r>
    </w:p>
    <w:p w:rsidR="008F5004" w:rsidRDefault="008F5004" w:rsidP="008F5004">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Agentura EU v oblasti prosazování práva</w:t>
      </w:r>
    </w:p>
    <w:p w:rsidR="008F5004" w:rsidRDefault="008F5004" w:rsidP="008F5004">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Boj se závažnou mezinárodní trestnou činností a terorismem</w:t>
      </w:r>
      <w:r w:rsidR="00771359">
        <w:rPr>
          <w:rFonts w:eastAsia="Times New Roman" w:cstheme="minorHAnsi"/>
          <w:sz w:val="20"/>
          <w:szCs w:val="20"/>
          <w:lang w:eastAsia="cs-CZ"/>
        </w:rPr>
        <w:t xml:space="preserve"> (obchodování s drogami, nelegální migrace, nedovolené obchodování s vozidly, lidmi, boj proti dětské pornografii …)</w:t>
      </w:r>
    </w:p>
    <w:p w:rsidR="00771359" w:rsidRDefault="00771359" w:rsidP="008F5004">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 xml:space="preserve">Úkolem je mimo jiné vytvořit IS, který umožní vkládat údaje, přístup k nim a analýzu údajů </w:t>
      </w:r>
    </w:p>
    <w:p w:rsidR="00771359" w:rsidRDefault="00771359" w:rsidP="008F5004">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Je odpovědný Radě pro spravedlnost a vnitřní věci</w:t>
      </w:r>
    </w:p>
    <w:p w:rsidR="00771359" w:rsidRDefault="00771359" w:rsidP="008F5004">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Nejdůležitější instituce v oblasti policejní spolupráce</w:t>
      </w:r>
    </w:p>
    <w:p w:rsidR="005F16C1" w:rsidRPr="00BB5DEE" w:rsidRDefault="005F16C1" w:rsidP="00BB5DEE">
      <w:pPr>
        <w:pStyle w:val="Nadpis2"/>
        <w:spacing w:before="0"/>
        <w:rPr>
          <w:rFonts w:eastAsia="Times New Roman"/>
          <w:lang w:eastAsia="cs-CZ"/>
        </w:rPr>
      </w:pPr>
      <w:bookmarkStart w:id="70" w:name="_Toc282320184"/>
      <w:r w:rsidRPr="00BB5DEE">
        <w:rPr>
          <w:rFonts w:eastAsia="Times New Roman"/>
          <w:lang w:eastAsia="cs-CZ"/>
        </w:rPr>
        <w:t>d) příklady právních aktů - Eurozatykač atd.</w:t>
      </w:r>
      <w:bookmarkEnd w:id="70"/>
      <w:r w:rsidRPr="00BB5DEE">
        <w:rPr>
          <w:rFonts w:eastAsia="Times New Roman"/>
          <w:lang w:eastAsia="cs-CZ"/>
        </w:rPr>
        <w:t xml:space="preserve"> </w:t>
      </w:r>
    </w:p>
    <w:p w:rsidR="00370F57" w:rsidRDefault="006A32B3" w:rsidP="00370F57">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Eurozatykač</w:t>
      </w:r>
    </w:p>
    <w:p w:rsidR="00370F57" w:rsidRDefault="00AA79E8" w:rsidP="00370F57">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Vydávání svých občanů k trestnímu stíhání do zahraničí</w:t>
      </w:r>
    </w:p>
    <w:p w:rsidR="00370F57" w:rsidRDefault="006A32B3" w:rsidP="006A32B3">
      <w:pPr>
        <w:pStyle w:val="Odstavecseseznamem"/>
        <w:numPr>
          <w:ilvl w:val="0"/>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Evropský důkazní prostředek</w:t>
      </w:r>
    </w:p>
    <w:p w:rsidR="006A32B3" w:rsidRDefault="006A32B3" w:rsidP="006A32B3">
      <w:pPr>
        <w:pStyle w:val="Odstavecseseznamem"/>
        <w:numPr>
          <w:ilvl w:val="1"/>
          <w:numId w:val="9"/>
        </w:numPr>
        <w:spacing w:after="0" w:line="240" w:lineRule="auto"/>
        <w:rPr>
          <w:rFonts w:eastAsia="Times New Roman" w:cstheme="minorHAnsi"/>
          <w:sz w:val="20"/>
          <w:szCs w:val="20"/>
          <w:lang w:eastAsia="cs-CZ"/>
        </w:rPr>
      </w:pPr>
      <w:r>
        <w:rPr>
          <w:rFonts w:eastAsia="Times New Roman" w:cstheme="minorHAnsi"/>
          <w:sz w:val="20"/>
          <w:szCs w:val="20"/>
          <w:lang w:eastAsia="cs-CZ"/>
        </w:rPr>
        <w:t>Zajištění předmětů, listin a údajů pro trestní řízení</w:t>
      </w:r>
    </w:p>
    <w:p w:rsidR="005C76A8" w:rsidRPr="009C50F4" w:rsidRDefault="005C76A8" w:rsidP="009C50F4">
      <w:pPr>
        <w:spacing w:after="0" w:line="240" w:lineRule="auto"/>
        <w:rPr>
          <w:rFonts w:cstheme="minorHAnsi"/>
          <w:sz w:val="20"/>
          <w:szCs w:val="20"/>
        </w:rPr>
      </w:pPr>
    </w:p>
    <w:sectPr w:rsidR="005C76A8" w:rsidRPr="009C50F4" w:rsidSect="008A2457">
      <w:headerReference w:type="default" r:id="rId8"/>
      <w:footerReference w:type="default" r:id="rId9"/>
      <w:pgSz w:w="11906" w:h="16838"/>
      <w:pgMar w:top="426" w:right="720" w:bottom="720" w:left="720"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42A" w:rsidRDefault="0009142A" w:rsidP="00875D00">
      <w:pPr>
        <w:spacing w:after="0" w:line="240" w:lineRule="auto"/>
      </w:pPr>
      <w:r>
        <w:separator/>
      </w:r>
    </w:p>
  </w:endnote>
  <w:endnote w:type="continuationSeparator" w:id="0">
    <w:p w:rsidR="0009142A" w:rsidRDefault="0009142A" w:rsidP="00875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6586"/>
      <w:docPartObj>
        <w:docPartGallery w:val="Page Numbers (Bottom of Page)"/>
        <w:docPartUnique/>
      </w:docPartObj>
    </w:sdtPr>
    <w:sdtContent>
      <w:p w:rsidR="004D17EE" w:rsidRDefault="004D17EE">
        <w:pPr>
          <w:pStyle w:val="Zpat"/>
          <w:jc w:val="right"/>
        </w:pPr>
        <w:fldSimple w:instr=" PAGE   \* MERGEFORMAT ">
          <w:r w:rsidR="00A96350">
            <w:rPr>
              <w:noProof/>
            </w:rPr>
            <w:t>2</w:t>
          </w:r>
        </w:fldSimple>
      </w:p>
    </w:sdtContent>
  </w:sdt>
  <w:p w:rsidR="004D17EE" w:rsidRDefault="004D17E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42A" w:rsidRDefault="0009142A" w:rsidP="00875D00">
      <w:pPr>
        <w:spacing w:after="0" w:line="240" w:lineRule="auto"/>
      </w:pPr>
      <w:r>
        <w:separator/>
      </w:r>
    </w:p>
  </w:footnote>
  <w:footnote w:type="continuationSeparator" w:id="0">
    <w:p w:rsidR="0009142A" w:rsidRDefault="0009142A" w:rsidP="00875D00">
      <w:pPr>
        <w:spacing w:after="0" w:line="240" w:lineRule="auto"/>
      </w:pPr>
      <w:r>
        <w:continuationSeparator/>
      </w:r>
    </w:p>
  </w:footnote>
  <w:footnote w:id="1">
    <w:p w:rsidR="004D17EE" w:rsidRDefault="004D17EE">
      <w:pPr>
        <w:pStyle w:val="Textpoznpodarou"/>
      </w:pPr>
      <w:r>
        <w:rPr>
          <w:rStyle w:val="Znakapoznpodarou"/>
        </w:rPr>
        <w:footnoteRef/>
      </w:r>
      <w:r>
        <w:t xml:space="preserve"> </w:t>
      </w:r>
      <w:r w:rsidRPr="00A967D4">
        <w:rPr>
          <w:sz w:val="16"/>
        </w:rPr>
        <w:t>72 % členů Rady zastupující členské státy s min 65 % obyvatel EU</w:t>
      </w:r>
    </w:p>
  </w:footnote>
  <w:footnote w:id="2">
    <w:p w:rsidR="004D17EE" w:rsidRDefault="004D17EE">
      <w:pPr>
        <w:pStyle w:val="Textpoznpodarou"/>
        <w:rPr>
          <w:sz w:val="16"/>
        </w:rPr>
      </w:pPr>
      <w:r>
        <w:rPr>
          <w:rStyle w:val="Znakapoznpodarou"/>
        </w:rPr>
        <w:footnoteRef/>
      </w:r>
      <w:r>
        <w:t xml:space="preserve"> </w:t>
      </w:r>
      <w:r>
        <w:rPr>
          <w:sz w:val="16"/>
        </w:rPr>
        <w:t>Rozhodnutí Zwarveld – EK odmítla poskytnout důkazy k právům rybolovu. ESD judikoval povinnost EK tyto důkazy poskytovat národním soudům</w:t>
      </w:r>
    </w:p>
    <w:p w:rsidR="004D17EE" w:rsidRPr="00DA0C42" w:rsidRDefault="004D17EE">
      <w:pPr>
        <w:pStyle w:val="Textpoznpodarou"/>
        <w:rPr>
          <w:sz w:val="16"/>
        </w:rPr>
      </w:pPr>
    </w:p>
  </w:footnote>
  <w:footnote w:id="3">
    <w:p w:rsidR="004D17EE" w:rsidRDefault="004D17EE">
      <w:pPr>
        <w:pStyle w:val="Textpoznpodarou"/>
      </w:pPr>
      <w:r>
        <w:rPr>
          <w:rStyle w:val="Znakapoznpodarou"/>
        </w:rPr>
        <w:footnoteRef/>
      </w:r>
      <w:r>
        <w:t xml:space="preserve"> </w:t>
      </w:r>
      <w:r w:rsidRPr="008D1287">
        <w:rPr>
          <w:sz w:val="16"/>
        </w:rPr>
        <w:t xml:space="preserve">Rozhodnutí </w:t>
      </w:r>
      <w:r w:rsidRPr="008D1287">
        <w:rPr>
          <w:i/>
          <w:sz w:val="16"/>
        </w:rPr>
        <w:t>Van Duyn</w:t>
      </w:r>
      <w:r w:rsidRPr="008D1287">
        <w:rPr>
          <w:sz w:val="16"/>
        </w:rPr>
        <w:t xml:space="preserve"> – paní Van Duyn chtěla do VB kvůli účasti ve scientologické církvi. VB ji v zájmu ochrany veřejného pořádku vstup nepovolila. ESD judikoval, že VB netransponovala směrnici EU, která stanovuje, že odepření vstupu do země může být až na základě konkrétního chování jedince. Tedy ESD umožnil přímou aplikovatelnost směrnice</w:t>
      </w:r>
    </w:p>
  </w:footnote>
  <w:footnote w:id="4">
    <w:p w:rsidR="004D17EE" w:rsidRDefault="004D17EE">
      <w:pPr>
        <w:pStyle w:val="Textpoznpodarou"/>
      </w:pPr>
      <w:r>
        <w:rPr>
          <w:rStyle w:val="Znakapoznpodarou"/>
        </w:rPr>
        <w:footnoteRef/>
      </w:r>
      <w:r>
        <w:t xml:space="preserve"> </w:t>
      </w:r>
      <w:r w:rsidRPr="000C796B">
        <w:rPr>
          <w:sz w:val="16"/>
        </w:rPr>
        <w:t>Skotská whisky z Francie dovezená do Belgie bez dokladu prokazující původ</w:t>
      </w:r>
    </w:p>
  </w:footnote>
  <w:footnote w:id="5">
    <w:p w:rsidR="004D17EE" w:rsidRDefault="004D17EE">
      <w:pPr>
        <w:pStyle w:val="Textpoznpodarou"/>
      </w:pPr>
      <w:r>
        <w:rPr>
          <w:rStyle w:val="Znakapoznpodarou"/>
        </w:rPr>
        <w:footnoteRef/>
      </w:r>
      <w:r w:rsidRPr="006D2810">
        <w:rPr>
          <w:sz w:val="16"/>
        </w:rPr>
        <w:t xml:space="preserve"> Dvě sociální pracovnice chtěly pracovat v mužské věznici. Nebyly přijaty a místo nich přijala věznice muže. Žalovaly SRN pro diskriminaci. ESD judikoval, že k diskriminaci došlo, ale náhrada škody se přiznávala podle národního právního řádu (7,20 DM)</w:t>
      </w:r>
    </w:p>
  </w:footnote>
  <w:footnote w:id="6">
    <w:p w:rsidR="004D17EE" w:rsidRDefault="004D17EE">
      <w:pPr>
        <w:pStyle w:val="Textpoznpodarou"/>
      </w:pPr>
      <w:r>
        <w:rPr>
          <w:rStyle w:val="Znakapoznpodarou"/>
        </w:rPr>
        <w:footnoteRef/>
      </w:r>
      <w:r>
        <w:t xml:space="preserve"> </w:t>
      </w:r>
      <w:r w:rsidRPr="00D47A64">
        <w:rPr>
          <w:sz w:val="16"/>
        </w:rPr>
        <w:t>Učitelka trestala děti mladší 5-ti let. Jednomu dala facku, rodiče ji žalovali … ESD judikoval povinnost eurokonformního výkladu</w:t>
      </w:r>
    </w:p>
  </w:footnote>
  <w:footnote w:id="7">
    <w:p w:rsidR="004D17EE" w:rsidRDefault="004D17EE">
      <w:pPr>
        <w:pStyle w:val="Textpoznpodarou"/>
      </w:pPr>
      <w:r>
        <w:rPr>
          <w:rStyle w:val="Znakapoznpodarou"/>
        </w:rPr>
        <w:footnoteRef/>
      </w:r>
      <w:r>
        <w:t xml:space="preserve"> </w:t>
      </w:r>
      <w:r w:rsidRPr="000C796B">
        <w:rPr>
          <w:sz w:val="16"/>
        </w:rPr>
        <w:t>Skotská whisky z Francie dovezená do Belgie bez dokladu prokazující původ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7EE" w:rsidRDefault="004D17EE" w:rsidP="00875D00">
    <w:pPr>
      <w:pStyle w:val="Zhlav"/>
      <w:jc w:val="center"/>
    </w:pPr>
    <w:r>
      <w:t>Evropské právo II.</w:t>
    </w:r>
    <w:r>
      <w:tab/>
    </w:r>
    <w:r>
      <w:tab/>
      <w:t>Otázky ke zkoušce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1137"/>
    <w:multiLevelType w:val="hybridMultilevel"/>
    <w:tmpl w:val="DA4085E6"/>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nsid w:val="07DF303C"/>
    <w:multiLevelType w:val="multilevel"/>
    <w:tmpl w:val="3FA2A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77579F"/>
    <w:multiLevelType w:val="hybridMultilevel"/>
    <w:tmpl w:val="2E60725E"/>
    <w:lvl w:ilvl="0" w:tplc="EDF46DBC">
      <w:start w:val="1"/>
      <w:numFmt w:val="bullet"/>
      <w:lvlText w:val=""/>
      <w:lvlJc w:val="left"/>
      <w:pPr>
        <w:ind w:left="720" w:hanging="360"/>
      </w:pPr>
      <w:rPr>
        <w:rFonts w:ascii="Symbol" w:hAnsi="Symbol" w:hint="default"/>
        <w:sz w:val="16"/>
      </w:rPr>
    </w:lvl>
    <w:lvl w:ilvl="1" w:tplc="6B784FA6">
      <w:start w:val="1"/>
      <w:numFmt w:val="bullet"/>
      <w:lvlText w:val="o"/>
      <w:lvlJc w:val="left"/>
      <w:pPr>
        <w:ind w:left="1440" w:hanging="360"/>
      </w:pPr>
      <w:rPr>
        <w:rFonts w:ascii="Courier New" w:hAnsi="Courier New" w:cs="Courier New" w:hint="default"/>
        <w:sz w:val="16"/>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C273F4"/>
    <w:multiLevelType w:val="multilevel"/>
    <w:tmpl w:val="3A74C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515A02"/>
    <w:multiLevelType w:val="multilevel"/>
    <w:tmpl w:val="97BEC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054C6F"/>
    <w:multiLevelType w:val="hybridMultilevel"/>
    <w:tmpl w:val="FDAEB6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A05B87"/>
    <w:multiLevelType w:val="multilevel"/>
    <w:tmpl w:val="4F340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6F3005"/>
    <w:multiLevelType w:val="hybridMultilevel"/>
    <w:tmpl w:val="F89CFF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8F746DF"/>
    <w:multiLevelType w:val="hybridMultilevel"/>
    <w:tmpl w:val="37C6F1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F87135A"/>
    <w:multiLevelType w:val="multilevel"/>
    <w:tmpl w:val="1E0E4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1C20A4"/>
    <w:multiLevelType w:val="multilevel"/>
    <w:tmpl w:val="D85A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6417A9"/>
    <w:multiLevelType w:val="multilevel"/>
    <w:tmpl w:val="AB5C5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137C9B"/>
    <w:multiLevelType w:val="hybridMultilevel"/>
    <w:tmpl w:val="BFEAF2E6"/>
    <w:lvl w:ilvl="0" w:tplc="04050001">
      <w:start w:val="1"/>
      <w:numFmt w:val="bullet"/>
      <w:pStyle w:val="odr1"/>
      <w:lvlText w:val="o"/>
      <w:lvlJc w:val="left"/>
      <w:pPr>
        <w:tabs>
          <w:tab w:val="num" w:pos="567"/>
        </w:tabs>
        <w:ind w:left="284" w:hanging="284"/>
      </w:pPr>
      <w:rPr>
        <w:rFonts w:ascii="Courier New" w:hAnsi="Courier New" w:hint="default"/>
      </w:rPr>
    </w:lvl>
    <w:lvl w:ilvl="1" w:tplc="04050003">
      <w:start w:val="1"/>
      <w:numFmt w:val="bullet"/>
      <w:lvlText w:val="o"/>
      <w:lvlJc w:val="left"/>
      <w:pPr>
        <w:tabs>
          <w:tab w:val="num" w:pos="306"/>
        </w:tabs>
        <w:ind w:left="306" w:hanging="360"/>
      </w:pPr>
      <w:rPr>
        <w:rFonts w:ascii="Courier New" w:hAnsi="Courier New" w:cs="Courier New" w:hint="default"/>
      </w:rPr>
    </w:lvl>
    <w:lvl w:ilvl="2" w:tplc="04050005" w:tentative="1">
      <w:start w:val="1"/>
      <w:numFmt w:val="bullet"/>
      <w:lvlText w:val=""/>
      <w:lvlJc w:val="left"/>
      <w:pPr>
        <w:tabs>
          <w:tab w:val="num" w:pos="1026"/>
        </w:tabs>
        <w:ind w:left="1026" w:hanging="360"/>
      </w:pPr>
      <w:rPr>
        <w:rFonts w:ascii="Wingdings" w:hAnsi="Wingdings" w:hint="default"/>
      </w:rPr>
    </w:lvl>
    <w:lvl w:ilvl="3" w:tplc="04050001" w:tentative="1">
      <w:start w:val="1"/>
      <w:numFmt w:val="bullet"/>
      <w:lvlText w:val=""/>
      <w:lvlJc w:val="left"/>
      <w:pPr>
        <w:tabs>
          <w:tab w:val="num" w:pos="1746"/>
        </w:tabs>
        <w:ind w:left="1746" w:hanging="360"/>
      </w:pPr>
      <w:rPr>
        <w:rFonts w:ascii="Symbol" w:hAnsi="Symbol" w:hint="default"/>
      </w:rPr>
    </w:lvl>
    <w:lvl w:ilvl="4" w:tplc="04050003" w:tentative="1">
      <w:start w:val="1"/>
      <w:numFmt w:val="bullet"/>
      <w:lvlText w:val="o"/>
      <w:lvlJc w:val="left"/>
      <w:pPr>
        <w:tabs>
          <w:tab w:val="num" w:pos="2466"/>
        </w:tabs>
        <w:ind w:left="2466" w:hanging="360"/>
      </w:pPr>
      <w:rPr>
        <w:rFonts w:ascii="Courier New" w:hAnsi="Courier New" w:cs="Courier New" w:hint="default"/>
      </w:rPr>
    </w:lvl>
    <w:lvl w:ilvl="5" w:tplc="04050005" w:tentative="1">
      <w:start w:val="1"/>
      <w:numFmt w:val="bullet"/>
      <w:lvlText w:val=""/>
      <w:lvlJc w:val="left"/>
      <w:pPr>
        <w:tabs>
          <w:tab w:val="num" w:pos="3186"/>
        </w:tabs>
        <w:ind w:left="3186" w:hanging="360"/>
      </w:pPr>
      <w:rPr>
        <w:rFonts w:ascii="Wingdings" w:hAnsi="Wingdings" w:hint="default"/>
      </w:rPr>
    </w:lvl>
    <w:lvl w:ilvl="6" w:tplc="04050001" w:tentative="1">
      <w:start w:val="1"/>
      <w:numFmt w:val="bullet"/>
      <w:lvlText w:val=""/>
      <w:lvlJc w:val="left"/>
      <w:pPr>
        <w:tabs>
          <w:tab w:val="num" w:pos="3906"/>
        </w:tabs>
        <w:ind w:left="3906" w:hanging="360"/>
      </w:pPr>
      <w:rPr>
        <w:rFonts w:ascii="Symbol" w:hAnsi="Symbol" w:hint="default"/>
      </w:rPr>
    </w:lvl>
    <w:lvl w:ilvl="7" w:tplc="04050003" w:tentative="1">
      <w:start w:val="1"/>
      <w:numFmt w:val="bullet"/>
      <w:lvlText w:val="o"/>
      <w:lvlJc w:val="left"/>
      <w:pPr>
        <w:tabs>
          <w:tab w:val="num" w:pos="4626"/>
        </w:tabs>
        <w:ind w:left="4626" w:hanging="360"/>
      </w:pPr>
      <w:rPr>
        <w:rFonts w:ascii="Courier New" w:hAnsi="Courier New" w:cs="Courier New" w:hint="default"/>
      </w:rPr>
    </w:lvl>
    <w:lvl w:ilvl="8" w:tplc="04050005" w:tentative="1">
      <w:start w:val="1"/>
      <w:numFmt w:val="bullet"/>
      <w:lvlText w:val=""/>
      <w:lvlJc w:val="left"/>
      <w:pPr>
        <w:tabs>
          <w:tab w:val="num" w:pos="5346"/>
        </w:tabs>
        <w:ind w:left="5346" w:hanging="360"/>
      </w:pPr>
      <w:rPr>
        <w:rFonts w:ascii="Wingdings" w:hAnsi="Wingdings" w:hint="default"/>
      </w:rPr>
    </w:lvl>
  </w:abstractNum>
  <w:abstractNum w:abstractNumId="13">
    <w:nsid w:val="48A81D99"/>
    <w:multiLevelType w:val="hybridMultilevel"/>
    <w:tmpl w:val="6658D84A"/>
    <w:lvl w:ilvl="0" w:tplc="6B784FA6">
      <w:start w:val="1"/>
      <w:numFmt w:val="bullet"/>
      <w:lvlText w:val="o"/>
      <w:lvlJc w:val="left"/>
      <w:pPr>
        <w:ind w:left="360" w:hanging="360"/>
      </w:pPr>
      <w:rPr>
        <w:rFonts w:ascii="Courier New" w:hAnsi="Courier New" w:cs="Courier New" w:hint="default"/>
        <w:sz w:val="16"/>
      </w:rPr>
    </w:lvl>
    <w:lvl w:ilvl="1" w:tplc="04050003" w:tentative="1">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4">
    <w:nsid w:val="57D25AB6"/>
    <w:multiLevelType w:val="hybridMultilevel"/>
    <w:tmpl w:val="991C6C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9E94B42"/>
    <w:multiLevelType w:val="multilevel"/>
    <w:tmpl w:val="B630F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5"/>
  </w:num>
  <w:num w:numId="3">
    <w:abstractNumId w:val="10"/>
  </w:num>
  <w:num w:numId="4">
    <w:abstractNumId w:val="4"/>
  </w:num>
  <w:num w:numId="5">
    <w:abstractNumId w:val="3"/>
  </w:num>
  <w:num w:numId="6">
    <w:abstractNumId w:val="11"/>
  </w:num>
  <w:num w:numId="7">
    <w:abstractNumId w:val="1"/>
  </w:num>
  <w:num w:numId="8">
    <w:abstractNumId w:val="9"/>
  </w:num>
  <w:num w:numId="9">
    <w:abstractNumId w:val="2"/>
  </w:num>
  <w:num w:numId="10">
    <w:abstractNumId w:val="13"/>
  </w:num>
  <w:num w:numId="11">
    <w:abstractNumId w:val="8"/>
  </w:num>
  <w:num w:numId="12">
    <w:abstractNumId w:val="12"/>
  </w:num>
  <w:num w:numId="13">
    <w:abstractNumId w:val="0"/>
  </w:num>
  <w:num w:numId="14">
    <w:abstractNumId w:val="5"/>
  </w:num>
  <w:num w:numId="15">
    <w:abstractNumId w:val="14"/>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F16C1"/>
    <w:rsid w:val="00014F1F"/>
    <w:rsid w:val="00060220"/>
    <w:rsid w:val="00073001"/>
    <w:rsid w:val="00076BA5"/>
    <w:rsid w:val="0008029C"/>
    <w:rsid w:val="0009142A"/>
    <w:rsid w:val="000B0D8C"/>
    <w:rsid w:val="000C796B"/>
    <w:rsid w:val="000E651F"/>
    <w:rsid w:val="000F0CFC"/>
    <w:rsid w:val="001036BD"/>
    <w:rsid w:val="0011518E"/>
    <w:rsid w:val="001359B9"/>
    <w:rsid w:val="001A630E"/>
    <w:rsid w:val="001A75B6"/>
    <w:rsid w:val="001B07EA"/>
    <w:rsid w:val="001C0A36"/>
    <w:rsid w:val="001D1AEA"/>
    <w:rsid w:val="001E50A8"/>
    <w:rsid w:val="001E5291"/>
    <w:rsid w:val="001E6049"/>
    <w:rsid w:val="002259C7"/>
    <w:rsid w:val="00231510"/>
    <w:rsid w:val="00244DE1"/>
    <w:rsid w:val="00252A55"/>
    <w:rsid w:val="002555BA"/>
    <w:rsid w:val="00295031"/>
    <w:rsid w:val="0029684E"/>
    <w:rsid w:val="002973FC"/>
    <w:rsid w:val="002A3A7F"/>
    <w:rsid w:val="002A3CCC"/>
    <w:rsid w:val="002A74AC"/>
    <w:rsid w:val="0030021C"/>
    <w:rsid w:val="00370F57"/>
    <w:rsid w:val="00395FE3"/>
    <w:rsid w:val="00396044"/>
    <w:rsid w:val="003A1DE0"/>
    <w:rsid w:val="003A4014"/>
    <w:rsid w:val="003A5FCA"/>
    <w:rsid w:val="003D1742"/>
    <w:rsid w:val="003F7349"/>
    <w:rsid w:val="00476E4B"/>
    <w:rsid w:val="0049627B"/>
    <w:rsid w:val="004B779E"/>
    <w:rsid w:val="004D17EE"/>
    <w:rsid w:val="004D7223"/>
    <w:rsid w:val="004D7465"/>
    <w:rsid w:val="004D76A6"/>
    <w:rsid w:val="004F70FB"/>
    <w:rsid w:val="00510395"/>
    <w:rsid w:val="005513C4"/>
    <w:rsid w:val="00555D25"/>
    <w:rsid w:val="00585A42"/>
    <w:rsid w:val="00585F3C"/>
    <w:rsid w:val="00586475"/>
    <w:rsid w:val="005900DD"/>
    <w:rsid w:val="005A32A4"/>
    <w:rsid w:val="005A335A"/>
    <w:rsid w:val="005A6B1A"/>
    <w:rsid w:val="005B5328"/>
    <w:rsid w:val="005C76A8"/>
    <w:rsid w:val="005F16C1"/>
    <w:rsid w:val="005F1BC5"/>
    <w:rsid w:val="006259E4"/>
    <w:rsid w:val="00637053"/>
    <w:rsid w:val="00640EBA"/>
    <w:rsid w:val="00652AD3"/>
    <w:rsid w:val="006541B0"/>
    <w:rsid w:val="0068287B"/>
    <w:rsid w:val="006900FD"/>
    <w:rsid w:val="006A32B3"/>
    <w:rsid w:val="006B0D00"/>
    <w:rsid w:val="006B536F"/>
    <w:rsid w:val="006C154D"/>
    <w:rsid w:val="006C4973"/>
    <w:rsid w:val="006D2810"/>
    <w:rsid w:val="006D5905"/>
    <w:rsid w:val="006E718A"/>
    <w:rsid w:val="006F0779"/>
    <w:rsid w:val="007176C7"/>
    <w:rsid w:val="00767B5D"/>
    <w:rsid w:val="00771359"/>
    <w:rsid w:val="007850C3"/>
    <w:rsid w:val="00796D6A"/>
    <w:rsid w:val="007A3C27"/>
    <w:rsid w:val="007A5382"/>
    <w:rsid w:val="007C2851"/>
    <w:rsid w:val="007D51F3"/>
    <w:rsid w:val="007E6B4A"/>
    <w:rsid w:val="0081022C"/>
    <w:rsid w:val="008123B6"/>
    <w:rsid w:val="0081259E"/>
    <w:rsid w:val="00815DE2"/>
    <w:rsid w:val="008329BE"/>
    <w:rsid w:val="00845881"/>
    <w:rsid w:val="00862577"/>
    <w:rsid w:val="00872A90"/>
    <w:rsid w:val="008735A3"/>
    <w:rsid w:val="00875D00"/>
    <w:rsid w:val="008827A6"/>
    <w:rsid w:val="00887015"/>
    <w:rsid w:val="008872F6"/>
    <w:rsid w:val="008A2046"/>
    <w:rsid w:val="008A2457"/>
    <w:rsid w:val="008A5EB0"/>
    <w:rsid w:val="008C0272"/>
    <w:rsid w:val="008C2EFF"/>
    <w:rsid w:val="008C557B"/>
    <w:rsid w:val="008D1287"/>
    <w:rsid w:val="008D6888"/>
    <w:rsid w:val="008E6C64"/>
    <w:rsid w:val="008F5004"/>
    <w:rsid w:val="0090513B"/>
    <w:rsid w:val="0090769C"/>
    <w:rsid w:val="00936D84"/>
    <w:rsid w:val="009638C5"/>
    <w:rsid w:val="0098443A"/>
    <w:rsid w:val="009C50F4"/>
    <w:rsid w:val="009C652F"/>
    <w:rsid w:val="009D0818"/>
    <w:rsid w:val="009D1782"/>
    <w:rsid w:val="009E58B9"/>
    <w:rsid w:val="009F704E"/>
    <w:rsid w:val="00A15068"/>
    <w:rsid w:val="00A15743"/>
    <w:rsid w:val="00A2124D"/>
    <w:rsid w:val="00A378E4"/>
    <w:rsid w:val="00A45CD1"/>
    <w:rsid w:val="00A62513"/>
    <w:rsid w:val="00A721F5"/>
    <w:rsid w:val="00A958DC"/>
    <w:rsid w:val="00A96350"/>
    <w:rsid w:val="00A967D4"/>
    <w:rsid w:val="00AA5622"/>
    <w:rsid w:val="00AA79E8"/>
    <w:rsid w:val="00AC607D"/>
    <w:rsid w:val="00AC74EA"/>
    <w:rsid w:val="00AD41E1"/>
    <w:rsid w:val="00B22BFF"/>
    <w:rsid w:val="00B40E6D"/>
    <w:rsid w:val="00B47578"/>
    <w:rsid w:val="00B80D7F"/>
    <w:rsid w:val="00B96B6C"/>
    <w:rsid w:val="00BB3957"/>
    <w:rsid w:val="00BB5DEE"/>
    <w:rsid w:val="00BC0C04"/>
    <w:rsid w:val="00BC4AD8"/>
    <w:rsid w:val="00BC6200"/>
    <w:rsid w:val="00BF1F6F"/>
    <w:rsid w:val="00BF3516"/>
    <w:rsid w:val="00C006C3"/>
    <w:rsid w:val="00C4359E"/>
    <w:rsid w:val="00C84486"/>
    <w:rsid w:val="00C879AB"/>
    <w:rsid w:val="00CC149A"/>
    <w:rsid w:val="00CE2C0F"/>
    <w:rsid w:val="00CF67CF"/>
    <w:rsid w:val="00D0776D"/>
    <w:rsid w:val="00D14F8A"/>
    <w:rsid w:val="00D158EF"/>
    <w:rsid w:val="00D2619D"/>
    <w:rsid w:val="00D32222"/>
    <w:rsid w:val="00D4425E"/>
    <w:rsid w:val="00D47A64"/>
    <w:rsid w:val="00D56B8D"/>
    <w:rsid w:val="00D62DEF"/>
    <w:rsid w:val="00D672B4"/>
    <w:rsid w:val="00D80226"/>
    <w:rsid w:val="00D8121F"/>
    <w:rsid w:val="00DA0C42"/>
    <w:rsid w:val="00DA18A3"/>
    <w:rsid w:val="00DD2058"/>
    <w:rsid w:val="00DE753E"/>
    <w:rsid w:val="00DE7C7B"/>
    <w:rsid w:val="00E11DD6"/>
    <w:rsid w:val="00E50BB5"/>
    <w:rsid w:val="00E5534A"/>
    <w:rsid w:val="00E55A17"/>
    <w:rsid w:val="00E63D8A"/>
    <w:rsid w:val="00E76224"/>
    <w:rsid w:val="00ED0514"/>
    <w:rsid w:val="00EE43F8"/>
    <w:rsid w:val="00F10BC6"/>
    <w:rsid w:val="00F17880"/>
    <w:rsid w:val="00F23840"/>
    <w:rsid w:val="00F32A7B"/>
    <w:rsid w:val="00F3755D"/>
    <w:rsid w:val="00F573BA"/>
    <w:rsid w:val="00F80AC9"/>
    <w:rsid w:val="00F81C1F"/>
    <w:rsid w:val="00F94CF2"/>
    <w:rsid w:val="00FC041D"/>
    <w:rsid w:val="00FC41B5"/>
    <w:rsid w:val="00FE00B7"/>
    <w:rsid w:val="00FF0BC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C76A8"/>
  </w:style>
  <w:style w:type="paragraph" w:styleId="Nadpis1">
    <w:name w:val="heading 1"/>
    <w:basedOn w:val="Normln"/>
    <w:next w:val="Normln"/>
    <w:link w:val="Nadpis1Char"/>
    <w:uiPriority w:val="9"/>
    <w:qFormat/>
    <w:rsid w:val="00555D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55D2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5F16C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555D25"/>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555D25"/>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qFormat/>
    <w:rsid w:val="00555D25"/>
    <w:pPr>
      <w:ind w:left="720"/>
      <w:contextualSpacing/>
    </w:pPr>
  </w:style>
  <w:style w:type="paragraph" w:styleId="Zhlav">
    <w:name w:val="header"/>
    <w:basedOn w:val="Normln"/>
    <w:link w:val="ZhlavChar"/>
    <w:uiPriority w:val="99"/>
    <w:semiHidden/>
    <w:unhideWhenUsed/>
    <w:rsid w:val="00875D00"/>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875D00"/>
  </w:style>
  <w:style w:type="paragraph" w:styleId="Zpat">
    <w:name w:val="footer"/>
    <w:basedOn w:val="Normln"/>
    <w:link w:val="ZpatChar"/>
    <w:uiPriority w:val="99"/>
    <w:unhideWhenUsed/>
    <w:rsid w:val="00875D00"/>
    <w:pPr>
      <w:tabs>
        <w:tab w:val="center" w:pos="4536"/>
        <w:tab w:val="right" w:pos="9072"/>
      </w:tabs>
      <w:spacing w:after="0" w:line="240" w:lineRule="auto"/>
    </w:pPr>
  </w:style>
  <w:style w:type="character" w:customStyle="1" w:styleId="ZpatChar">
    <w:name w:val="Zápatí Char"/>
    <w:basedOn w:val="Standardnpsmoodstavce"/>
    <w:link w:val="Zpat"/>
    <w:uiPriority w:val="99"/>
    <w:rsid w:val="00875D00"/>
  </w:style>
  <w:style w:type="paragraph" w:styleId="Textvysvtlivek">
    <w:name w:val="endnote text"/>
    <w:basedOn w:val="Normln"/>
    <w:link w:val="TextvysvtlivekChar"/>
    <w:uiPriority w:val="99"/>
    <w:semiHidden/>
    <w:unhideWhenUsed/>
    <w:rsid w:val="00DA0C4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A0C42"/>
    <w:rPr>
      <w:sz w:val="20"/>
      <w:szCs w:val="20"/>
    </w:rPr>
  </w:style>
  <w:style w:type="character" w:styleId="Odkaznavysvtlivky">
    <w:name w:val="endnote reference"/>
    <w:basedOn w:val="Standardnpsmoodstavce"/>
    <w:uiPriority w:val="99"/>
    <w:semiHidden/>
    <w:unhideWhenUsed/>
    <w:rsid w:val="00DA0C42"/>
    <w:rPr>
      <w:vertAlign w:val="superscript"/>
    </w:rPr>
  </w:style>
  <w:style w:type="paragraph" w:styleId="Textpoznpodarou">
    <w:name w:val="footnote text"/>
    <w:basedOn w:val="Normln"/>
    <w:link w:val="TextpoznpodarouChar"/>
    <w:uiPriority w:val="99"/>
    <w:semiHidden/>
    <w:unhideWhenUsed/>
    <w:rsid w:val="00DA0C4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A0C42"/>
    <w:rPr>
      <w:sz w:val="20"/>
      <w:szCs w:val="20"/>
    </w:rPr>
  </w:style>
  <w:style w:type="character" w:styleId="Znakapoznpodarou">
    <w:name w:val="footnote reference"/>
    <w:basedOn w:val="Standardnpsmoodstavce"/>
    <w:uiPriority w:val="99"/>
    <w:semiHidden/>
    <w:unhideWhenUsed/>
    <w:rsid w:val="00DA0C42"/>
    <w:rPr>
      <w:vertAlign w:val="superscript"/>
    </w:rPr>
  </w:style>
  <w:style w:type="paragraph" w:styleId="Nadpisobsahu">
    <w:name w:val="TOC Heading"/>
    <w:basedOn w:val="Nadpis1"/>
    <w:next w:val="Normln"/>
    <w:uiPriority w:val="39"/>
    <w:semiHidden/>
    <w:unhideWhenUsed/>
    <w:qFormat/>
    <w:rsid w:val="00F94CF2"/>
    <w:pPr>
      <w:outlineLvl w:val="9"/>
    </w:pPr>
  </w:style>
  <w:style w:type="paragraph" w:styleId="Obsah1">
    <w:name w:val="toc 1"/>
    <w:basedOn w:val="Normln"/>
    <w:next w:val="Normln"/>
    <w:autoRedefine/>
    <w:uiPriority w:val="39"/>
    <w:unhideWhenUsed/>
    <w:rsid w:val="00F94CF2"/>
    <w:pPr>
      <w:spacing w:after="100"/>
    </w:pPr>
  </w:style>
  <w:style w:type="paragraph" w:styleId="Obsah2">
    <w:name w:val="toc 2"/>
    <w:basedOn w:val="Normln"/>
    <w:next w:val="Normln"/>
    <w:autoRedefine/>
    <w:uiPriority w:val="39"/>
    <w:unhideWhenUsed/>
    <w:rsid w:val="00F94CF2"/>
    <w:pPr>
      <w:spacing w:after="100"/>
      <w:ind w:left="220"/>
    </w:pPr>
  </w:style>
  <w:style w:type="character" w:styleId="Hypertextovodkaz">
    <w:name w:val="Hyperlink"/>
    <w:basedOn w:val="Standardnpsmoodstavce"/>
    <w:uiPriority w:val="99"/>
    <w:unhideWhenUsed/>
    <w:rsid w:val="00F94CF2"/>
    <w:rPr>
      <w:color w:val="0000FF" w:themeColor="hyperlink"/>
      <w:u w:val="single"/>
    </w:rPr>
  </w:style>
  <w:style w:type="paragraph" w:styleId="Textbubliny">
    <w:name w:val="Balloon Text"/>
    <w:basedOn w:val="Normln"/>
    <w:link w:val="TextbublinyChar"/>
    <w:uiPriority w:val="99"/>
    <w:semiHidden/>
    <w:unhideWhenUsed/>
    <w:rsid w:val="00F94C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4CF2"/>
    <w:rPr>
      <w:rFonts w:ascii="Tahoma" w:hAnsi="Tahoma" w:cs="Tahoma"/>
      <w:sz w:val="16"/>
      <w:szCs w:val="16"/>
    </w:rPr>
  </w:style>
  <w:style w:type="paragraph" w:customStyle="1" w:styleId="odr1">
    <w:name w:val="odr1"/>
    <w:basedOn w:val="Normln"/>
    <w:rsid w:val="008C0272"/>
    <w:pPr>
      <w:numPr>
        <w:numId w:val="12"/>
      </w:numPr>
      <w:spacing w:after="0" w:line="240" w:lineRule="auto"/>
      <w:jc w:val="both"/>
    </w:pPr>
    <w:rPr>
      <w:rFonts w:ascii="Calibri" w:eastAsia="Times New Roman" w:hAnsi="Calibri" w:cs="Times New Roman"/>
      <w:sz w:val="20"/>
      <w:szCs w:val="24"/>
      <w:lang w:eastAsia="cs-CZ"/>
    </w:rPr>
  </w:style>
</w:styles>
</file>

<file path=word/webSettings.xml><?xml version="1.0" encoding="utf-8"?>
<w:webSettings xmlns:r="http://schemas.openxmlformats.org/officeDocument/2006/relationships" xmlns:w="http://schemas.openxmlformats.org/wordprocessingml/2006/main">
  <w:divs>
    <w:div w:id="56058574">
      <w:bodyDiv w:val="1"/>
      <w:marLeft w:val="0"/>
      <w:marRight w:val="0"/>
      <w:marTop w:val="0"/>
      <w:marBottom w:val="0"/>
      <w:divBdr>
        <w:top w:val="none" w:sz="0" w:space="0" w:color="auto"/>
        <w:left w:val="none" w:sz="0" w:space="0" w:color="auto"/>
        <w:bottom w:val="none" w:sz="0" w:space="0" w:color="auto"/>
        <w:right w:val="none" w:sz="0" w:space="0" w:color="auto"/>
      </w:divBdr>
      <w:divsChild>
        <w:div w:id="431897978">
          <w:marLeft w:val="0"/>
          <w:marRight w:val="0"/>
          <w:marTop w:val="0"/>
          <w:marBottom w:val="0"/>
          <w:divBdr>
            <w:top w:val="none" w:sz="0" w:space="0" w:color="auto"/>
            <w:left w:val="none" w:sz="0" w:space="0" w:color="auto"/>
            <w:bottom w:val="none" w:sz="0" w:space="0" w:color="auto"/>
            <w:right w:val="none" w:sz="0" w:space="0" w:color="auto"/>
          </w:divBdr>
          <w:divsChild>
            <w:div w:id="209644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BAEF4-89D8-4135-9B08-10D304D7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732</TotalTime>
  <Pages>20</Pages>
  <Words>7351</Words>
  <Characters>43377</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Evropské právo II</vt:lpstr>
    </vt:vector>
  </TitlesOfParts>
  <Company>UZSVM</Company>
  <LinksUpToDate>false</LinksUpToDate>
  <CharactersWithSpaces>50627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Evropské právo II</dc:title>
  <dc:subject>zkouška</dc:subject>
  <dc:creator>Karin Plincnerová</dc:creator>
  <cp:keywords>právo EU, komunitární právo, ESD</cp:keywords>
  <cp:lastModifiedBy>Karin Plincnerová</cp:lastModifiedBy>
  <cp:revision>58</cp:revision>
  <dcterms:created xsi:type="dcterms:W3CDTF">2011-01-08T19:11:00Z</dcterms:created>
  <dcterms:modified xsi:type="dcterms:W3CDTF">2011-01-09T18:59:00Z</dcterms:modified>
</cp:coreProperties>
</file>