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B02" w:rsidRPr="00A17B02" w:rsidRDefault="00A17B02" w:rsidP="00A17B02">
      <w:pPr>
        <w:pStyle w:val="Nzev"/>
        <w:spacing w:line="360" w:lineRule="auto"/>
        <w:rPr>
          <w:rFonts w:ascii="Arial" w:hAnsi="Arial" w:cs="Arial"/>
        </w:rPr>
      </w:pPr>
    </w:p>
    <w:p w:rsidR="00A17B02" w:rsidRPr="00A17B02" w:rsidRDefault="00CE154D" w:rsidP="00A17B02">
      <w:pPr>
        <w:pStyle w:val="Nzev"/>
        <w:spacing w:line="360" w:lineRule="auto"/>
        <w:rPr>
          <w:rFonts w:ascii="Arial" w:hAnsi="Arial" w:cs="Arial"/>
          <w:b/>
          <w:bCs/>
          <w:sz w:val="28"/>
        </w:rPr>
      </w:pPr>
      <w:r>
        <w:rPr>
          <w:rFonts w:ascii="Arial" w:hAnsi="Arial" w:cs="Arial"/>
          <w:noProof/>
          <w:lang w:eastAsia="cs-CZ"/>
        </w:rPr>
        <w:drawing>
          <wp:anchor distT="0" distB="0" distL="114300" distR="114300" simplePos="0" relativeHeight="251657728" behindDoc="0" locked="0" layoutInCell="1" allowOverlap="1">
            <wp:simplePos x="0" y="0"/>
            <wp:positionH relativeFrom="column">
              <wp:posOffset>228600</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A17B02" w:rsidRPr="00A17B02" w:rsidRDefault="00A17B02" w:rsidP="00A17B02">
      <w:pPr>
        <w:rPr>
          <w:rFonts w:ascii="Arial" w:hAnsi="Arial" w:cs="Arial"/>
          <w:b/>
          <w:bCs/>
          <w:sz w:val="28"/>
        </w:rPr>
      </w:pPr>
      <w:bookmarkStart w:id="0" w:name="_Toc160597478"/>
      <w:bookmarkStart w:id="1" w:name="_Toc162088905"/>
      <w:r w:rsidRPr="00A17B02">
        <w:rPr>
          <w:rFonts w:ascii="Arial" w:hAnsi="Arial" w:cs="Arial"/>
          <w:b/>
          <w:bCs/>
          <w:sz w:val="28"/>
        </w:rPr>
        <w:t>POLICEJNÍ AKADEMIE ČESKÉ REPUBLIKY</w:t>
      </w:r>
      <w:bookmarkEnd w:id="0"/>
      <w:bookmarkEnd w:id="1"/>
      <w:r>
        <w:rPr>
          <w:rFonts w:ascii="Arial" w:hAnsi="Arial" w:cs="Arial"/>
          <w:b/>
          <w:bCs/>
          <w:sz w:val="28"/>
        </w:rPr>
        <w:t xml:space="preserve"> V PRAZE</w:t>
      </w: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Default="00A17B02" w:rsidP="00A17B02">
      <w:pPr>
        <w:jc w:val="center"/>
        <w:rPr>
          <w:rFonts w:ascii="Arial" w:hAnsi="Arial" w:cs="Arial"/>
        </w:rPr>
      </w:pPr>
    </w:p>
    <w:p w:rsidR="00A17B02" w:rsidRDefault="00A17B02" w:rsidP="00A17B02">
      <w:pPr>
        <w:jc w:val="center"/>
        <w:rPr>
          <w:rFonts w:ascii="Arial" w:hAnsi="Arial" w:cs="Arial"/>
        </w:rPr>
      </w:pPr>
    </w:p>
    <w:p w:rsidR="00003BDD" w:rsidRDefault="00003BDD" w:rsidP="00A17B02">
      <w:pPr>
        <w:jc w:val="center"/>
        <w:rPr>
          <w:rFonts w:ascii="Arial" w:hAnsi="Arial" w:cs="Arial"/>
        </w:rPr>
      </w:pPr>
    </w:p>
    <w:p w:rsidR="00003BDD" w:rsidRDefault="00003BDD" w:rsidP="00A17B02">
      <w:pPr>
        <w:jc w:val="center"/>
        <w:rPr>
          <w:rFonts w:ascii="Arial" w:hAnsi="Arial" w:cs="Arial"/>
        </w:rPr>
      </w:pPr>
    </w:p>
    <w:p w:rsidR="00A17B02" w:rsidRPr="00A17B02" w:rsidRDefault="00A17B02" w:rsidP="00A17B02">
      <w:pPr>
        <w:jc w:val="center"/>
        <w:rPr>
          <w:rFonts w:ascii="Arial" w:hAnsi="Arial" w:cs="Arial"/>
        </w:rPr>
      </w:pPr>
    </w:p>
    <w:p w:rsidR="00A17B02" w:rsidRPr="00A17B02" w:rsidRDefault="00003BDD" w:rsidP="00A17B02">
      <w:pPr>
        <w:jc w:val="center"/>
        <w:rPr>
          <w:rFonts w:ascii="Arial" w:hAnsi="Arial" w:cs="Arial"/>
          <w:sz w:val="40"/>
          <w:szCs w:val="40"/>
        </w:rPr>
      </w:pPr>
      <w:r>
        <w:rPr>
          <w:rFonts w:ascii="Arial" w:hAnsi="Arial" w:cs="Arial"/>
          <w:sz w:val="40"/>
          <w:szCs w:val="40"/>
        </w:rPr>
        <w:t>Informační systém majetku státu</w:t>
      </w:r>
    </w:p>
    <w:p w:rsidR="00A17B02" w:rsidRPr="00A17B02" w:rsidRDefault="00A17B02" w:rsidP="00A17B02">
      <w:pPr>
        <w:rPr>
          <w:rFonts w:ascii="Arial" w:hAnsi="Arial" w:cs="Arial"/>
          <w:sz w:val="32"/>
        </w:rPr>
      </w:pPr>
      <w:bookmarkStart w:id="2" w:name="_Toc160597479"/>
      <w:bookmarkStart w:id="3" w:name="_Toc162088906"/>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jc w:val="center"/>
        <w:rPr>
          <w:rFonts w:ascii="Arial" w:hAnsi="Arial" w:cs="Arial"/>
          <w:sz w:val="32"/>
        </w:rPr>
      </w:pPr>
      <w:r w:rsidRPr="00A17B02">
        <w:rPr>
          <w:rFonts w:ascii="Arial" w:hAnsi="Arial" w:cs="Arial"/>
          <w:sz w:val="32"/>
        </w:rPr>
        <w:t>Semestrální práce</w:t>
      </w:r>
    </w:p>
    <w:p w:rsidR="00A17B02" w:rsidRPr="00A17B02" w:rsidRDefault="00A17B02" w:rsidP="00A17B02">
      <w:pPr>
        <w:jc w:val="center"/>
        <w:rPr>
          <w:rFonts w:ascii="Arial" w:hAnsi="Arial" w:cs="Arial"/>
          <w:sz w:val="32"/>
        </w:rPr>
      </w:pPr>
      <w:r w:rsidRPr="00A17B02">
        <w:rPr>
          <w:rFonts w:ascii="Arial" w:hAnsi="Arial" w:cs="Arial"/>
          <w:sz w:val="32"/>
        </w:rPr>
        <w:t xml:space="preserve">z předmětu </w:t>
      </w:r>
      <w:bookmarkEnd w:id="2"/>
      <w:bookmarkEnd w:id="3"/>
      <w:r w:rsidR="002706EE">
        <w:rPr>
          <w:rFonts w:ascii="Arial" w:hAnsi="Arial" w:cs="Arial"/>
          <w:sz w:val="32"/>
        </w:rPr>
        <w:t>Účelové databáze</w:t>
      </w:r>
    </w:p>
    <w:p w:rsidR="00A17B02" w:rsidRPr="00A17B02" w:rsidRDefault="00A17B02" w:rsidP="00A17B02">
      <w:pPr>
        <w:rPr>
          <w:rFonts w:ascii="Arial" w:hAnsi="Arial" w:cs="Arial"/>
          <w:sz w:val="28"/>
          <w:szCs w:val="28"/>
        </w:rPr>
      </w:pPr>
    </w:p>
    <w:p w:rsidR="00A17B02" w:rsidRDefault="00A17B02" w:rsidP="00A17B02">
      <w:pPr>
        <w:rPr>
          <w:rFonts w:ascii="Arial" w:hAnsi="Arial" w:cs="Arial"/>
          <w:sz w:val="28"/>
          <w:szCs w:val="28"/>
        </w:rPr>
      </w:pPr>
    </w:p>
    <w:p w:rsid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Default="00A17B02" w:rsidP="00A17B02">
      <w:pPr>
        <w:rPr>
          <w:rFonts w:ascii="Arial" w:hAnsi="Arial" w:cs="Arial"/>
          <w:sz w:val="26"/>
          <w:szCs w:val="26"/>
        </w:rPr>
      </w:pPr>
    </w:p>
    <w:p w:rsidR="00A17B02" w:rsidRDefault="00A17B02" w:rsidP="00A17B02">
      <w:pPr>
        <w:rPr>
          <w:rFonts w:ascii="Arial" w:hAnsi="Arial" w:cs="Arial"/>
          <w:sz w:val="26"/>
          <w:szCs w:val="26"/>
        </w:rPr>
      </w:pPr>
    </w:p>
    <w:p w:rsidR="00A17B02" w:rsidRPr="00A17B02" w:rsidRDefault="00A17B02" w:rsidP="00A17B02">
      <w:pPr>
        <w:rPr>
          <w:rFonts w:ascii="Arial" w:hAnsi="Arial" w:cs="Arial"/>
          <w:sz w:val="26"/>
          <w:szCs w:val="26"/>
        </w:rPr>
      </w:pPr>
    </w:p>
    <w:p w:rsidR="00A17B02" w:rsidRPr="00A17B02" w:rsidRDefault="00A17B02" w:rsidP="00A17B02">
      <w:pPr>
        <w:rPr>
          <w:rFonts w:ascii="Arial" w:hAnsi="Arial" w:cs="Arial"/>
          <w:sz w:val="26"/>
          <w:szCs w:val="26"/>
        </w:rPr>
      </w:pPr>
      <w:bookmarkStart w:id="4" w:name="_Toc160597480"/>
      <w:bookmarkStart w:id="5" w:name="_Toc162088907"/>
      <w:r w:rsidRPr="00A17B02">
        <w:rPr>
          <w:rFonts w:ascii="Arial" w:hAnsi="Arial" w:cs="Arial"/>
          <w:sz w:val="26"/>
          <w:szCs w:val="26"/>
        </w:rPr>
        <w:t xml:space="preserve">Vypracovala: </w:t>
      </w:r>
      <w:r w:rsidR="002706EE">
        <w:rPr>
          <w:rFonts w:ascii="Arial" w:hAnsi="Arial" w:cs="Arial"/>
          <w:sz w:val="26"/>
          <w:szCs w:val="26"/>
        </w:rPr>
        <w:t xml:space="preserve">Bc. </w:t>
      </w:r>
      <w:r w:rsidRPr="00A17B02">
        <w:rPr>
          <w:rFonts w:ascii="Arial" w:hAnsi="Arial" w:cs="Arial"/>
          <w:sz w:val="26"/>
          <w:szCs w:val="26"/>
        </w:rPr>
        <w:t>Karin Plincnerová</w:t>
      </w:r>
      <w:bookmarkEnd w:id="4"/>
      <w:bookmarkEnd w:id="5"/>
    </w:p>
    <w:p w:rsidR="00A17B02" w:rsidRPr="00A17B02" w:rsidRDefault="00A17B02" w:rsidP="00A17B02">
      <w:pPr>
        <w:rPr>
          <w:rFonts w:ascii="Arial" w:hAnsi="Arial" w:cs="Arial"/>
          <w:sz w:val="26"/>
          <w:szCs w:val="26"/>
        </w:rPr>
      </w:pPr>
      <w:r w:rsidRPr="00A17B02">
        <w:rPr>
          <w:rFonts w:ascii="Arial" w:hAnsi="Arial" w:cs="Arial"/>
          <w:sz w:val="26"/>
          <w:szCs w:val="26"/>
        </w:rPr>
        <w:t>Obor:</w:t>
      </w:r>
      <w:r w:rsidRPr="00A17B02">
        <w:rPr>
          <w:rFonts w:ascii="Arial" w:hAnsi="Arial" w:cs="Arial"/>
          <w:sz w:val="26"/>
          <w:szCs w:val="26"/>
        </w:rPr>
        <w:tab/>
      </w:r>
      <w:r w:rsidRPr="00A17B02">
        <w:rPr>
          <w:rFonts w:ascii="Arial" w:hAnsi="Arial" w:cs="Arial"/>
          <w:sz w:val="26"/>
          <w:szCs w:val="26"/>
        </w:rPr>
        <w:tab/>
      </w:r>
      <w:r>
        <w:rPr>
          <w:rFonts w:ascii="Arial" w:hAnsi="Arial" w:cs="Arial"/>
          <w:sz w:val="26"/>
          <w:szCs w:val="26"/>
        </w:rPr>
        <w:t xml:space="preserve">  Bezpečnostní management ve veřejné správě</w:t>
      </w:r>
    </w:p>
    <w:p w:rsidR="00A17B02" w:rsidRPr="00A17B02" w:rsidRDefault="00A17B02" w:rsidP="00A17B02">
      <w:pPr>
        <w:rPr>
          <w:rFonts w:ascii="Arial" w:hAnsi="Arial" w:cs="Arial"/>
          <w:sz w:val="26"/>
          <w:szCs w:val="26"/>
        </w:rPr>
      </w:pPr>
      <w:r w:rsidRPr="00A17B02">
        <w:rPr>
          <w:rFonts w:ascii="Arial" w:hAnsi="Arial" w:cs="Arial"/>
          <w:sz w:val="26"/>
          <w:szCs w:val="26"/>
        </w:rPr>
        <w:t>Forma:</w:t>
      </w:r>
      <w:r w:rsidRPr="00A17B02">
        <w:rPr>
          <w:rFonts w:ascii="Arial" w:hAnsi="Arial" w:cs="Arial"/>
          <w:sz w:val="26"/>
          <w:szCs w:val="26"/>
        </w:rPr>
        <w:tab/>
      </w:r>
      <w:r>
        <w:rPr>
          <w:rFonts w:ascii="Arial" w:hAnsi="Arial" w:cs="Arial"/>
          <w:sz w:val="26"/>
          <w:szCs w:val="26"/>
        </w:rPr>
        <w:t xml:space="preserve">  </w:t>
      </w:r>
      <w:r w:rsidRPr="00A17B02">
        <w:rPr>
          <w:rFonts w:ascii="Arial" w:hAnsi="Arial" w:cs="Arial"/>
          <w:sz w:val="26"/>
          <w:szCs w:val="26"/>
        </w:rPr>
        <w:t>kombinovaná</w:t>
      </w:r>
    </w:p>
    <w:p w:rsidR="00A17B02" w:rsidRPr="00A17B02" w:rsidRDefault="00A17B02" w:rsidP="00A17B02">
      <w:pPr>
        <w:rPr>
          <w:rFonts w:ascii="Arial" w:hAnsi="Arial" w:cs="Arial"/>
          <w:sz w:val="26"/>
          <w:szCs w:val="26"/>
        </w:rPr>
      </w:pPr>
      <w:r w:rsidRPr="00A17B02">
        <w:rPr>
          <w:rFonts w:ascii="Arial" w:hAnsi="Arial" w:cs="Arial"/>
          <w:sz w:val="26"/>
          <w:szCs w:val="26"/>
        </w:rPr>
        <w:t>Ročník:</w:t>
      </w:r>
      <w:r w:rsidRPr="00A17B02">
        <w:rPr>
          <w:rFonts w:ascii="Arial" w:hAnsi="Arial" w:cs="Arial"/>
          <w:sz w:val="26"/>
          <w:szCs w:val="26"/>
        </w:rPr>
        <w:tab/>
      </w:r>
      <w:r>
        <w:rPr>
          <w:rFonts w:ascii="Arial" w:hAnsi="Arial" w:cs="Arial"/>
          <w:sz w:val="26"/>
          <w:szCs w:val="26"/>
        </w:rPr>
        <w:t xml:space="preserve">  I</w:t>
      </w:r>
      <w:r w:rsidRPr="00A17B02">
        <w:rPr>
          <w:rFonts w:ascii="Arial" w:hAnsi="Arial" w:cs="Arial"/>
          <w:sz w:val="26"/>
          <w:szCs w:val="26"/>
        </w:rPr>
        <w:t>.</w:t>
      </w:r>
      <w:r w:rsidR="00C46F30">
        <w:rPr>
          <w:rFonts w:ascii="Arial" w:hAnsi="Arial" w:cs="Arial"/>
          <w:sz w:val="26"/>
          <w:szCs w:val="26"/>
        </w:rPr>
        <w:t xml:space="preserve"> – N71</w:t>
      </w:r>
    </w:p>
    <w:p w:rsidR="00A17B02" w:rsidRPr="00A17B02" w:rsidRDefault="00A17B02" w:rsidP="00A17B02">
      <w:pPr>
        <w:rPr>
          <w:rFonts w:ascii="Arial" w:hAnsi="Arial" w:cs="Arial"/>
          <w:sz w:val="26"/>
          <w:szCs w:val="26"/>
        </w:rPr>
      </w:pPr>
      <w:r w:rsidRPr="00A17B02">
        <w:rPr>
          <w:rFonts w:ascii="Arial" w:hAnsi="Arial" w:cs="Arial"/>
          <w:sz w:val="26"/>
          <w:szCs w:val="26"/>
        </w:rPr>
        <w:t>Datum:</w:t>
      </w:r>
      <w:r w:rsidRPr="00A17B02">
        <w:rPr>
          <w:rFonts w:ascii="Arial" w:hAnsi="Arial" w:cs="Arial"/>
          <w:sz w:val="26"/>
          <w:szCs w:val="26"/>
        </w:rPr>
        <w:tab/>
      </w:r>
      <w:r>
        <w:rPr>
          <w:rFonts w:ascii="Arial" w:hAnsi="Arial" w:cs="Arial"/>
          <w:sz w:val="26"/>
          <w:szCs w:val="26"/>
        </w:rPr>
        <w:t xml:space="preserve">  </w:t>
      </w:r>
      <w:r w:rsidR="002706EE">
        <w:rPr>
          <w:rFonts w:ascii="Arial" w:hAnsi="Arial" w:cs="Arial"/>
          <w:sz w:val="26"/>
          <w:szCs w:val="26"/>
        </w:rPr>
        <w:t>5</w:t>
      </w:r>
      <w:r w:rsidRPr="00A17B02">
        <w:rPr>
          <w:rFonts w:ascii="Arial" w:hAnsi="Arial" w:cs="Arial"/>
          <w:sz w:val="26"/>
          <w:szCs w:val="26"/>
        </w:rPr>
        <w:t>.</w:t>
      </w:r>
      <w:r w:rsidR="002706EE">
        <w:rPr>
          <w:rFonts w:ascii="Arial" w:hAnsi="Arial" w:cs="Arial"/>
          <w:sz w:val="26"/>
          <w:szCs w:val="26"/>
        </w:rPr>
        <w:t>10</w:t>
      </w:r>
      <w:r>
        <w:rPr>
          <w:rFonts w:ascii="Arial" w:hAnsi="Arial" w:cs="Arial"/>
          <w:sz w:val="26"/>
          <w:szCs w:val="26"/>
        </w:rPr>
        <w:t>.2009</w:t>
      </w:r>
    </w:p>
    <w:p w:rsidR="00A17B02" w:rsidRDefault="00A17B02" w:rsidP="00A17B02">
      <w:pPr>
        <w:rPr>
          <w:rFonts w:ascii="Arial" w:hAnsi="Arial" w:cs="Arial"/>
          <w:sz w:val="26"/>
          <w:szCs w:val="26"/>
        </w:rPr>
      </w:pPr>
      <w:r w:rsidRPr="00A17B02">
        <w:rPr>
          <w:rFonts w:ascii="Arial" w:hAnsi="Arial" w:cs="Arial"/>
          <w:sz w:val="26"/>
          <w:szCs w:val="26"/>
        </w:rPr>
        <w:t>E-mail:</w:t>
      </w:r>
      <w:r w:rsidRPr="00A17B02">
        <w:rPr>
          <w:rFonts w:ascii="Arial" w:hAnsi="Arial" w:cs="Arial"/>
          <w:sz w:val="26"/>
          <w:szCs w:val="26"/>
        </w:rPr>
        <w:tab/>
      </w:r>
      <w:r>
        <w:rPr>
          <w:rFonts w:ascii="Arial" w:hAnsi="Arial" w:cs="Arial"/>
          <w:sz w:val="26"/>
          <w:szCs w:val="26"/>
        </w:rPr>
        <w:t xml:space="preserve">  </w:t>
      </w:r>
      <w:hyperlink r:id="rId8" w:history="1">
        <w:r w:rsidRPr="003B64CD">
          <w:rPr>
            <w:rStyle w:val="Hypertextovodkaz"/>
            <w:rFonts w:ascii="Arial" w:hAnsi="Arial" w:cs="Arial"/>
            <w:sz w:val="26"/>
            <w:szCs w:val="26"/>
          </w:rPr>
          <w:t>plincnerova.karin@pacr.eu</w:t>
        </w:r>
      </w:hyperlink>
    </w:p>
    <w:p w:rsidR="00A17B02" w:rsidRPr="00C46F30" w:rsidRDefault="00101CB8" w:rsidP="00A17B02">
      <w:pPr>
        <w:rPr>
          <w:rFonts w:ascii="Arial" w:hAnsi="Arial" w:cs="Arial"/>
          <w:sz w:val="26"/>
          <w:szCs w:val="26"/>
        </w:rPr>
      </w:pPr>
      <w:r>
        <w:rPr>
          <w:rFonts w:ascii="Arial" w:hAnsi="Arial" w:cs="Arial"/>
          <w:sz w:val="26"/>
          <w:szCs w:val="26"/>
        </w:rPr>
        <w:br w:type="page"/>
      </w:r>
    </w:p>
    <w:p w:rsidR="00101CB8" w:rsidRPr="00C46F30" w:rsidRDefault="00101CB8" w:rsidP="00A17B02">
      <w:pPr>
        <w:rPr>
          <w:rFonts w:ascii="Arial" w:hAnsi="Arial" w:cs="Arial"/>
          <w:b/>
          <w:sz w:val="26"/>
          <w:szCs w:val="26"/>
        </w:rPr>
      </w:pPr>
      <w:r w:rsidRPr="00C46F30">
        <w:rPr>
          <w:rFonts w:ascii="Arial" w:hAnsi="Arial" w:cs="Arial"/>
          <w:b/>
          <w:sz w:val="26"/>
          <w:szCs w:val="26"/>
        </w:rPr>
        <w:t>Obsah:</w:t>
      </w:r>
    </w:p>
    <w:p w:rsidR="00101CB8" w:rsidRPr="00C46F30" w:rsidRDefault="00101CB8" w:rsidP="00A17B02">
      <w:pPr>
        <w:rPr>
          <w:rFonts w:ascii="Arial" w:hAnsi="Arial" w:cs="Arial"/>
          <w:b/>
          <w:sz w:val="26"/>
          <w:szCs w:val="26"/>
        </w:rPr>
      </w:pPr>
    </w:p>
    <w:p w:rsidR="00101CB8" w:rsidRPr="00C46F30" w:rsidRDefault="00101CB8" w:rsidP="00A17B02">
      <w:pPr>
        <w:rPr>
          <w:rFonts w:ascii="Arial" w:hAnsi="Arial" w:cs="Arial"/>
          <w:b/>
          <w:sz w:val="26"/>
          <w:szCs w:val="26"/>
        </w:rPr>
      </w:pPr>
    </w:p>
    <w:p w:rsidR="006D7755" w:rsidRPr="006D7755" w:rsidRDefault="006D7755" w:rsidP="006D7755">
      <w:pPr>
        <w:pStyle w:val="Obsah1"/>
        <w:tabs>
          <w:tab w:val="left" w:pos="480"/>
          <w:tab w:val="right" w:leader="dot" w:pos="9062"/>
        </w:tabs>
        <w:spacing w:line="360" w:lineRule="auto"/>
        <w:rPr>
          <w:rFonts w:ascii="Arial" w:hAnsi="Arial" w:cs="Arial"/>
          <w:noProof/>
          <w:sz w:val="24"/>
        </w:rPr>
      </w:pPr>
      <w:r w:rsidRPr="006D7755">
        <w:rPr>
          <w:rFonts w:ascii="Arial" w:hAnsi="Arial" w:cs="Arial"/>
          <w:sz w:val="24"/>
        </w:rPr>
        <w:fldChar w:fldCharType="begin"/>
      </w:r>
      <w:r w:rsidRPr="006D7755">
        <w:rPr>
          <w:rFonts w:ascii="Arial" w:hAnsi="Arial" w:cs="Arial"/>
          <w:sz w:val="24"/>
        </w:rPr>
        <w:instrText xml:space="preserve"> TOC \o "1-3" \h \z \u </w:instrText>
      </w:r>
      <w:r w:rsidRPr="006D7755">
        <w:rPr>
          <w:rFonts w:ascii="Arial" w:hAnsi="Arial" w:cs="Arial"/>
          <w:sz w:val="24"/>
        </w:rPr>
        <w:fldChar w:fldCharType="separate"/>
      </w:r>
      <w:hyperlink w:anchor="_Toc242422228" w:history="1">
        <w:r w:rsidRPr="006D7755">
          <w:rPr>
            <w:rStyle w:val="Hypertextovodkaz"/>
            <w:rFonts w:ascii="Arial" w:hAnsi="Arial" w:cs="Arial"/>
            <w:noProof/>
            <w:sz w:val="24"/>
          </w:rPr>
          <w:t>1.</w:t>
        </w:r>
        <w:r w:rsidRPr="006D7755">
          <w:rPr>
            <w:rFonts w:ascii="Arial" w:hAnsi="Arial" w:cs="Arial"/>
            <w:noProof/>
            <w:sz w:val="24"/>
          </w:rPr>
          <w:tab/>
        </w:r>
        <w:r w:rsidRPr="006D7755">
          <w:rPr>
            <w:rStyle w:val="Hypertextovodkaz"/>
            <w:rFonts w:ascii="Arial" w:hAnsi="Arial" w:cs="Arial"/>
            <w:noProof/>
            <w:sz w:val="24"/>
          </w:rPr>
          <w:t>Úvod</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_Toc242422228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3</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29" w:history="1">
        <w:r w:rsidRPr="006D7755">
          <w:rPr>
            <w:rStyle w:val="Hypertextovodkaz"/>
            <w:rFonts w:ascii="Arial" w:hAnsi="Arial" w:cs="Arial"/>
            <w:noProof/>
            <w:sz w:val="24"/>
          </w:rPr>
          <w:t>2.</w:t>
        </w:r>
        <w:r w:rsidRPr="006D7755">
          <w:rPr>
            <w:rFonts w:ascii="Arial" w:hAnsi="Arial" w:cs="Arial"/>
            <w:noProof/>
            <w:sz w:val="24"/>
          </w:rPr>
          <w:tab/>
        </w:r>
        <w:r w:rsidRPr="006D7755">
          <w:rPr>
            <w:rStyle w:val="Hypertextovodkaz"/>
            <w:rFonts w:ascii="Arial" w:hAnsi="Arial" w:cs="Arial"/>
            <w:noProof/>
            <w:sz w:val="24"/>
          </w:rPr>
          <w:t>Evidence majetku ve vlastnictví státu</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_Toc242422229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3</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0" w:history="1">
        <w:r w:rsidRPr="006D7755">
          <w:rPr>
            <w:rStyle w:val="Hypertextovodkaz"/>
            <w:rFonts w:ascii="Arial" w:hAnsi="Arial" w:cs="Arial"/>
            <w:noProof/>
            <w:sz w:val="24"/>
          </w:rPr>
          <w:t>3.</w:t>
        </w:r>
        <w:r w:rsidRPr="006D7755">
          <w:rPr>
            <w:rFonts w:ascii="Arial" w:hAnsi="Arial" w:cs="Arial"/>
            <w:noProof/>
            <w:sz w:val="24"/>
          </w:rPr>
          <w:tab/>
        </w:r>
        <w:r w:rsidRPr="006D7755">
          <w:rPr>
            <w:rStyle w:val="Hypertextovodkaz"/>
            <w:rFonts w:ascii="Arial" w:hAnsi="Arial" w:cs="Arial"/>
            <w:noProof/>
            <w:sz w:val="24"/>
          </w:rPr>
          <w:t>Informační systém majetku státu</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_Toc242422230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4</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1" w:history="1">
        <w:r w:rsidRPr="006D7755">
          <w:rPr>
            <w:rStyle w:val="Hypertextovodkaz"/>
            <w:rFonts w:ascii="Arial" w:hAnsi="Arial" w:cs="Arial"/>
            <w:noProof/>
            <w:sz w:val="24"/>
          </w:rPr>
          <w:t>4.</w:t>
        </w:r>
        <w:r w:rsidRPr="006D7755">
          <w:rPr>
            <w:rFonts w:ascii="Arial" w:hAnsi="Arial" w:cs="Arial"/>
            <w:noProof/>
            <w:sz w:val="24"/>
          </w:rPr>
          <w:tab/>
        </w:r>
        <w:r w:rsidRPr="006D7755">
          <w:rPr>
            <w:rStyle w:val="Hypertextovodkaz"/>
            <w:rFonts w:ascii="Arial" w:hAnsi="Arial" w:cs="Arial"/>
            <w:noProof/>
            <w:sz w:val="24"/>
          </w:rPr>
          <w:t>Moduly Informačního systému majetku státu</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_Toc242422231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5</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2" w:history="1">
        <w:r w:rsidRPr="006D7755">
          <w:rPr>
            <w:rStyle w:val="Hypertextovodkaz"/>
            <w:rFonts w:ascii="Arial" w:hAnsi="Arial" w:cs="Arial"/>
            <w:noProof/>
            <w:sz w:val="24"/>
          </w:rPr>
          <w:t>5.</w:t>
        </w:r>
        <w:r w:rsidRPr="006D7755">
          <w:rPr>
            <w:rFonts w:ascii="Arial" w:hAnsi="Arial" w:cs="Arial"/>
            <w:noProof/>
            <w:sz w:val="24"/>
          </w:rPr>
          <w:tab/>
        </w:r>
        <w:r w:rsidRPr="006D7755">
          <w:rPr>
            <w:rStyle w:val="Hypertextovodkaz"/>
            <w:rFonts w:ascii="Arial" w:hAnsi="Arial" w:cs="Arial"/>
            <w:noProof/>
            <w:sz w:val="24"/>
          </w:rPr>
          <w:t>Reporty a tisky</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_Toc242422232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5</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3" w:history="1">
        <w:r w:rsidRPr="006D7755">
          <w:rPr>
            <w:rStyle w:val="Hypertextovodkaz"/>
            <w:rFonts w:ascii="Arial" w:hAnsi="Arial" w:cs="Arial"/>
            <w:noProof/>
            <w:sz w:val="24"/>
          </w:rPr>
          <w:t>6.</w:t>
        </w:r>
        <w:r w:rsidRPr="006D7755">
          <w:rPr>
            <w:rFonts w:ascii="Arial" w:hAnsi="Arial" w:cs="Arial"/>
            <w:noProof/>
            <w:sz w:val="24"/>
          </w:rPr>
          <w:tab/>
        </w:r>
        <w:r w:rsidRPr="006D7755">
          <w:rPr>
            <w:rStyle w:val="Hypertextovodkaz"/>
            <w:rFonts w:ascii="Arial" w:hAnsi="Arial" w:cs="Arial"/>
            <w:noProof/>
            <w:sz w:val="24"/>
          </w:rPr>
          <w:t>Druhy majetku evidované v ISMS</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_Toc242422233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5</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4" w:history="1">
        <w:r w:rsidRPr="006D7755">
          <w:rPr>
            <w:rStyle w:val="Hypertextovodkaz"/>
            <w:rFonts w:ascii="Arial" w:hAnsi="Arial" w:cs="Arial"/>
            <w:noProof/>
            <w:sz w:val="24"/>
          </w:rPr>
          <w:t>7.</w:t>
        </w:r>
        <w:r w:rsidRPr="006D7755">
          <w:rPr>
            <w:rFonts w:ascii="Arial" w:hAnsi="Arial" w:cs="Arial"/>
            <w:noProof/>
            <w:sz w:val="24"/>
          </w:rPr>
          <w:tab/>
        </w:r>
        <w:r w:rsidRPr="006D7755">
          <w:rPr>
            <w:rStyle w:val="Hypertextovodkaz"/>
            <w:rFonts w:ascii="Arial" w:hAnsi="Arial" w:cs="Arial"/>
            <w:noProof/>
            <w:sz w:val="24"/>
          </w:rPr>
          <w:t>Závěr</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_Toc242422234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6</w:t>
        </w:r>
        <w:r w:rsidRPr="006D7755">
          <w:rPr>
            <w:rFonts w:ascii="Arial" w:hAnsi="Arial" w:cs="Arial"/>
            <w:noProof/>
            <w:webHidden/>
            <w:sz w:val="24"/>
          </w:rPr>
          <w:fldChar w:fldCharType="end"/>
        </w:r>
      </w:hyperlink>
    </w:p>
    <w:p w:rsidR="006D7755" w:rsidRPr="006D7755" w:rsidRDefault="006D7755" w:rsidP="006D7755">
      <w:pPr>
        <w:pStyle w:val="Obsah1"/>
        <w:tabs>
          <w:tab w:val="left" w:pos="480"/>
          <w:tab w:val="right" w:leader="dot" w:pos="9062"/>
        </w:tabs>
        <w:spacing w:line="360" w:lineRule="auto"/>
        <w:rPr>
          <w:rFonts w:ascii="Arial" w:hAnsi="Arial" w:cs="Arial"/>
          <w:noProof/>
          <w:sz w:val="24"/>
        </w:rPr>
      </w:pPr>
      <w:hyperlink w:anchor="_Toc242422235" w:history="1">
        <w:r w:rsidRPr="006D7755">
          <w:rPr>
            <w:rStyle w:val="Hypertextovodkaz"/>
            <w:rFonts w:ascii="Arial" w:hAnsi="Arial" w:cs="Arial"/>
            <w:noProof/>
            <w:sz w:val="24"/>
          </w:rPr>
          <w:t>8.</w:t>
        </w:r>
        <w:r w:rsidRPr="006D7755">
          <w:rPr>
            <w:rFonts w:ascii="Arial" w:hAnsi="Arial" w:cs="Arial"/>
            <w:noProof/>
            <w:sz w:val="24"/>
          </w:rPr>
          <w:tab/>
        </w:r>
        <w:r w:rsidRPr="006D7755">
          <w:rPr>
            <w:rStyle w:val="Hypertextovodkaz"/>
            <w:rFonts w:ascii="Arial" w:hAnsi="Arial" w:cs="Arial"/>
            <w:noProof/>
            <w:sz w:val="24"/>
          </w:rPr>
          <w:t>Použitá literatura</w:t>
        </w:r>
        <w:r w:rsidRPr="006D7755">
          <w:rPr>
            <w:rFonts w:ascii="Arial" w:hAnsi="Arial" w:cs="Arial"/>
            <w:noProof/>
            <w:webHidden/>
            <w:sz w:val="24"/>
          </w:rPr>
          <w:tab/>
        </w:r>
        <w:r w:rsidRPr="006D7755">
          <w:rPr>
            <w:rFonts w:ascii="Arial" w:hAnsi="Arial" w:cs="Arial"/>
            <w:noProof/>
            <w:webHidden/>
            <w:sz w:val="24"/>
          </w:rPr>
          <w:fldChar w:fldCharType="begin"/>
        </w:r>
        <w:r w:rsidRPr="006D7755">
          <w:rPr>
            <w:rFonts w:ascii="Arial" w:hAnsi="Arial" w:cs="Arial"/>
            <w:noProof/>
            <w:webHidden/>
            <w:sz w:val="24"/>
          </w:rPr>
          <w:instrText xml:space="preserve"> PAGEREF _Toc242422235 \h </w:instrText>
        </w:r>
        <w:r w:rsidR="00DF0BEA" w:rsidRPr="006D7755">
          <w:rPr>
            <w:rFonts w:ascii="Arial" w:hAnsi="Arial" w:cs="Arial"/>
            <w:noProof/>
            <w:sz w:val="24"/>
          </w:rPr>
        </w:r>
        <w:r w:rsidRPr="006D7755">
          <w:rPr>
            <w:rFonts w:ascii="Arial" w:hAnsi="Arial" w:cs="Arial"/>
            <w:noProof/>
            <w:webHidden/>
            <w:sz w:val="24"/>
          </w:rPr>
          <w:fldChar w:fldCharType="separate"/>
        </w:r>
        <w:r w:rsidR="002B47CF">
          <w:rPr>
            <w:rFonts w:ascii="Arial" w:hAnsi="Arial" w:cs="Arial"/>
            <w:noProof/>
            <w:webHidden/>
            <w:sz w:val="24"/>
          </w:rPr>
          <w:t>7</w:t>
        </w:r>
        <w:r w:rsidRPr="006D7755">
          <w:rPr>
            <w:rFonts w:ascii="Arial" w:hAnsi="Arial" w:cs="Arial"/>
            <w:noProof/>
            <w:webHidden/>
            <w:sz w:val="24"/>
          </w:rPr>
          <w:fldChar w:fldCharType="end"/>
        </w:r>
      </w:hyperlink>
    </w:p>
    <w:p w:rsidR="00C46F30" w:rsidRDefault="006D7755" w:rsidP="006D7755">
      <w:pPr>
        <w:pStyle w:val="Nadpis1"/>
        <w:spacing w:line="360" w:lineRule="auto"/>
        <w:rPr>
          <w:b w:val="0"/>
          <w:bCs w:val="0"/>
          <w:kern w:val="0"/>
          <w:sz w:val="20"/>
          <w:szCs w:val="24"/>
        </w:rPr>
      </w:pPr>
      <w:r w:rsidRPr="006D7755">
        <w:rPr>
          <w:kern w:val="0"/>
          <w:sz w:val="24"/>
          <w:szCs w:val="24"/>
        </w:rPr>
        <w:fldChar w:fldCharType="end"/>
      </w:r>
    </w:p>
    <w:p w:rsidR="00A17B02" w:rsidRPr="00F22999" w:rsidRDefault="00C46F30" w:rsidP="00734048">
      <w:pPr>
        <w:pStyle w:val="Nadpis1"/>
        <w:numPr>
          <w:ilvl w:val="0"/>
          <w:numId w:val="5"/>
        </w:numPr>
      </w:pPr>
      <w:r>
        <w:rPr>
          <w:b w:val="0"/>
          <w:bCs w:val="0"/>
          <w:kern w:val="0"/>
          <w:sz w:val="20"/>
          <w:szCs w:val="24"/>
        </w:rPr>
        <w:br w:type="page"/>
      </w:r>
      <w:bookmarkStart w:id="6" w:name="_Toc242422228"/>
      <w:r w:rsidR="00A17B02" w:rsidRPr="00F22999">
        <w:lastRenderedPageBreak/>
        <w:t>Úvod</w:t>
      </w:r>
      <w:bookmarkEnd w:id="6"/>
    </w:p>
    <w:p w:rsidR="00DA2507" w:rsidRDefault="00724D2F" w:rsidP="00724D2F">
      <w:pPr>
        <w:spacing w:before="60" w:after="60" w:line="360" w:lineRule="auto"/>
        <w:ind w:firstLine="709"/>
        <w:jc w:val="both"/>
        <w:rPr>
          <w:rFonts w:ascii="Arial" w:hAnsi="Arial" w:cs="Arial"/>
          <w:bCs/>
          <w:sz w:val="24"/>
        </w:rPr>
      </w:pPr>
      <w:r w:rsidRPr="00F22999">
        <w:rPr>
          <w:rFonts w:ascii="Arial" w:hAnsi="Arial" w:cs="Arial"/>
          <w:bCs/>
          <w:sz w:val="24"/>
        </w:rPr>
        <w:t>Databáz</w:t>
      </w:r>
      <w:r w:rsidR="00F22999">
        <w:rPr>
          <w:rFonts w:ascii="Arial" w:hAnsi="Arial" w:cs="Arial"/>
          <w:bCs/>
          <w:sz w:val="24"/>
        </w:rPr>
        <w:t>í se rozumí</w:t>
      </w:r>
      <w:r w:rsidRPr="00F22999">
        <w:rPr>
          <w:rFonts w:ascii="Arial" w:hAnsi="Arial" w:cs="Arial"/>
          <w:bCs/>
          <w:sz w:val="24"/>
        </w:rPr>
        <w:t xml:space="preserve"> uspořádaná množina informací </w:t>
      </w:r>
      <w:r w:rsidR="00F22999">
        <w:rPr>
          <w:rFonts w:ascii="Arial" w:hAnsi="Arial" w:cs="Arial"/>
          <w:bCs/>
          <w:sz w:val="24"/>
        </w:rPr>
        <w:t>nebo-li d</w:t>
      </w:r>
      <w:r w:rsidRPr="00F22999">
        <w:rPr>
          <w:rFonts w:ascii="Arial" w:hAnsi="Arial" w:cs="Arial"/>
          <w:bCs/>
          <w:sz w:val="24"/>
        </w:rPr>
        <w:t>at</w:t>
      </w:r>
      <w:r w:rsidR="00F22999">
        <w:rPr>
          <w:rFonts w:ascii="Arial" w:hAnsi="Arial" w:cs="Arial"/>
          <w:bCs/>
          <w:sz w:val="24"/>
        </w:rPr>
        <w:t>, která je zapsaná</w:t>
      </w:r>
      <w:r w:rsidRPr="00F22999">
        <w:rPr>
          <w:rFonts w:ascii="Arial" w:hAnsi="Arial" w:cs="Arial"/>
          <w:bCs/>
          <w:sz w:val="24"/>
        </w:rPr>
        <w:t xml:space="preserve"> na paměťovém médiu. </w:t>
      </w:r>
      <w:r w:rsidR="00F22999">
        <w:rPr>
          <w:rFonts w:ascii="Arial" w:hAnsi="Arial" w:cs="Arial"/>
          <w:bCs/>
          <w:sz w:val="24"/>
        </w:rPr>
        <w:t xml:space="preserve">Databází se zároveň myslí software umožňující manipulaci s daty, jejich třídění, výstupy a přístup k nim. </w:t>
      </w:r>
      <w:r w:rsidR="00DA2507">
        <w:rPr>
          <w:rFonts w:ascii="Arial" w:hAnsi="Arial" w:cs="Arial"/>
          <w:bCs/>
          <w:sz w:val="24"/>
        </w:rPr>
        <w:t>Je možné konstatovat, že k</w:t>
      </w:r>
      <w:r w:rsidR="00F22999">
        <w:rPr>
          <w:rFonts w:ascii="Arial" w:hAnsi="Arial" w:cs="Arial"/>
          <w:bCs/>
          <w:sz w:val="24"/>
        </w:rPr>
        <w:t xml:space="preserve">aždý používaný software, a to jak v soukromé, tak ve veřejné sféře, je databází. </w:t>
      </w:r>
      <w:r w:rsidR="00DA2507">
        <w:rPr>
          <w:rFonts w:ascii="Arial" w:hAnsi="Arial" w:cs="Arial"/>
          <w:bCs/>
          <w:sz w:val="24"/>
        </w:rPr>
        <w:t xml:space="preserve">Databáze </w:t>
      </w:r>
      <w:r w:rsidR="00387332">
        <w:rPr>
          <w:rFonts w:ascii="Arial" w:hAnsi="Arial" w:cs="Arial"/>
          <w:bCs/>
          <w:sz w:val="24"/>
        </w:rPr>
        <w:t>však</w:t>
      </w:r>
      <w:r w:rsidR="00DA2507">
        <w:rPr>
          <w:rFonts w:ascii="Arial" w:hAnsi="Arial" w:cs="Arial"/>
          <w:bCs/>
          <w:sz w:val="24"/>
        </w:rPr>
        <w:t xml:space="preserve"> není novodobou záležitostí. Databáze je možné nalézt i v historii ve formě zákoníků, různých kartoték, soupisu nemovitostí v pozemkových knihách, v jízdních řádech, kuchařkách apod. Denně se tedy setkáváme s databázemi a to jak ve volném čase, tak především při zaměstnání. </w:t>
      </w:r>
      <w:r w:rsidR="003D40C8">
        <w:rPr>
          <w:rFonts w:ascii="Arial" w:hAnsi="Arial" w:cs="Arial"/>
          <w:bCs/>
          <w:sz w:val="24"/>
        </w:rPr>
        <w:t xml:space="preserve">Každý z nás je pracovníkem nějaké účetní jednotky, fyzické či právnické osoby. Účetní jednotka je povinna vést účetnictví, zákonem stanovené přehledy a knihy. Každý přehled je výstupem z databáze.  Součástí účetnictví je evidence majetku. </w:t>
      </w:r>
    </w:p>
    <w:p w:rsidR="00A17B02" w:rsidRPr="00C46F30" w:rsidRDefault="003D40C8" w:rsidP="00A17B02">
      <w:pPr>
        <w:pStyle w:val="Nadpis1"/>
        <w:numPr>
          <w:ilvl w:val="0"/>
          <w:numId w:val="5"/>
        </w:numPr>
      </w:pPr>
      <w:bookmarkStart w:id="7" w:name="_Toc242422229"/>
      <w:r>
        <w:t>Evidence majetku ve vlastnictví státu</w:t>
      </w:r>
      <w:bookmarkEnd w:id="7"/>
    </w:p>
    <w:p w:rsidR="003D40C8" w:rsidRDefault="00C75525" w:rsidP="003D40C8">
      <w:pPr>
        <w:spacing w:before="60" w:after="60" w:line="360" w:lineRule="auto"/>
        <w:ind w:firstLine="709"/>
        <w:jc w:val="both"/>
        <w:rPr>
          <w:rFonts w:ascii="Arial" w:hAnsi="Arial" w:cs="Arial"/>
          <w:bCs/>
          <w:sz w:val="24"/>
        </w:rPr>
      </w:pPr>
      <w:r>
        <w:rPr>
          <w:rFonts w:ascii="Arial" w:hAnsi="Arial" w:cs="Arial"/>
          <w:bCs/>
          <w:sz w:val="24"/>
        </w:rPr>
        <w:t>S</w:t>
      </w:r>
      <w:r w:rsidR="003D40C8" w:rsidRPr="003D40C8">
        <w:rPr>
          <w:rFonts w:ascii="Arial" w:hAnsi="Arial" w:cs="Arial"/>
          <w:bCs/>
          <w:sz w:val="24"/>
        </w:rPr>
        <w:t>tát je právnickou osobou, která má právo vlastn</w:t>
      </w:r>
      <w:r w:rsidR="009D0227">
        <w:rPr>
          <w:rFonts w:ascii="Arial" w:hAnsi="Arial" w:cs="Arial"/>
          <w:bCs/>
          <w:sz w:val="24"/>
        </w:rPr>
        <w:t xml:space="preserve">it majetek. Toto právo je </w:t>
      </w:r>
      <w:r w:rsidR="003D40C8" w:rsidRPr="003D40C8">
        <w:rPr>
          <w:rFonts w:ascii="Arial" w:hAnsi="Arial" w:cs="Arial"/>
          <w:bCs/>
          <w:sz w:val="24"/>
        </w:rPr>
        <w:t>dáno Ústavou i Listinou základních práv a svobod. Způsob a podmínky hospodaření s majetkem státu je upraveno zákonem č. 219/2000 Sb., o majetku České republiky a</w:t>
      </w:r>
      <w:r w:rsidR="009D0227">
        <w:rPr>
          <w:rFonts w:ascii="Arial" w:hAnsi="Arial" w:cs="Arial"/>
          <w:bCs/>
          <w:sz w:val="24"/>
        </w:rPr>
        <w:t> </w:t>
      </w:r>
      <w:r w:rsidR="003D40C8" w:rsidRPr="003D40C8">
        <w:rPr>
          <w:rFonts w:ascii="Arial" w:hAnsi="Arial" w:cs="Arial"/>
          <w:bCs/>
          <w:sz w:val="24"/>
        </w:rPr>
        <w:t>jejím vystupování v právních vztazích a prováděcí vyhláškou Ministerstva financí 62/2001 Sb., o hospodaření organizačních složek státu a státních organizací s</w:t>
      </w:r>
      <w:r w:rsidR="009D0227">
        <w:rPr>
          <w:rFonts w:ascii="Arial" w:hAnsi="Arial" w:cs="Arial"/>
          <w:bCs/>
          <w:sz w:val="24"/>
        </w:rPr>
        <w:t> m</w:t>
      </w:r>
      <w:r w:rsidR="003D40C8" w:rsidRPr="003D40C8">
        <w:rPr>
          <w:rFonts w:ascii="Arial" w:hAnsi="Arial" w:cs="Arial"/>
          <w:bCs/>
          <w:sz w:val="24"/>
        </w:rPr>
        <w:t>ajetkem státu</w:t>
      </w:r>
      <w:r w:rsidR="003D40C8">
        <w:rPr>
          <w:rFonts w:ascii="Arial" w:hAnsi="Arial" w:cs="Arial"/>
          <w:bCs/>
          <w:sz w:val="24"/>
        </w:rPr>
        <w:t>.</w:t>
      </w:r>
      <w:r w:rsidR="003D40C8" w:rsidRPr="003D40C8">
        <w:rPr>
          <w:rFonts w:ascii="Arial" w:hAnsi="Arial" w:cs="Arial"/>
          <w:bCs/>
          <w:sz w:val="24"/>
        </w:rPr>
        <w:t xml:space="preserve"> </w:t>
      </w:r>
      <w:r w:rsidR="009D0227">
        <w:rPr>
          <w:rFonts w:ascii="Arial" w:hAnsi="Arial" w:cs="Arial"/>
          <w:bCs/>
          <w:sz w:val="24"/>
        </w:rPr>
        <w:t xml:space="preserve">Jednou z organizačních složek státu je </w:t>
      </w:r>
      <w:r w:rsidR="009D0227" w:rsidRPr="009D0227">
        <w:rPr>
          <w:rFonts w:ascii="Arial" w:hAnsi="Arial" w:cs="Arial"/>
          <w:bCs/>
          <w:sz w:val="24"/>
        </w:rPr>
        <w:t>Ú</w:t>
      </w:r>
      <w:r w:rsidR="009D0227">
        <w:rPr>
          <w:rFonts w:ascii="Arial" w:hAnsi="Arial" w:cs="Arial"/>
          <w:bCs/>
          <w:sz w:val="24"/>
        </w:rPr>
        <w:t>řad pro zastupování státu ve věcech majetkových, který</w:t>
      </w:r>
      <w:r w:rsidR="009D0227" w:rsidRPr="009D0227">
        <w:rPr>
          <w:rFonts w:ascii="Arial" w:hAnsi="Arial" w:cs="Arial"/>
          <w:bCs/>
          <w:sz w:val="24"/>
        </w:rPr>
        <w:t xml:space="preserve"> nakládá s</w:t>
      </w:r>
      <w:r w:rsidR="009D0227">
        <w:rPr>
          <w:rFonts w:ascii="Arial" w:hAnsi="Arial" w:cs="Arial"/>
          <w:bCs/>
          <w:sz w:val="24"/>
        </w:rPr>
        <w:t> </w:t>
      </w:r>
      <w:r w:rsidR="009D0227" w:rsidRPr="009D0227">
        <w:rPr>
          <w:rFonts w:ascii="Arial" w:hAnsi="Arial" w:cs="Arial"/>
          <w:bCs/>
          <w:sz w:val="24"/>
        </w:rPr>
        <w:t>majetkem</w:t>
      </w:r>
      <w:r w:rsidR="009D0227">
        <w:rPr>
          <w:rFonts w:ascii="Arial" w:hAnsi="Arial" w:cs="Arial"/>
          <w:bCs/>
          <w:sz w:val="24"/>
        </w:rPr>
        <w:t xml:space="preserve"> státu.</w:t>
      </w:r>
      <w:r w:rsidR="009D0227" w:rsidRPr="009D0227">
        <w:rPr>
          <w:rFonts w:ascii="Arial" w:hAnsi="Arial" w:cs="Arial"/>
          <w:bCs/>
          <w:sz w:val="24"/>
        </w:rPr>
        <w:t xml:space="preserve"> Pod pojmem nakládání se rozumí nejen běžné hospodaření a údržba, ale i převody ve prospěch jiných organizačních složek státu, kupní smlouvy, smlouvy o převodu ve prospěch fyzických a právnických osob, dočasné nájmy a výpůjčky. Výkon povinností vlastníka při správě a údržbě majetku zahrnuje účast ve správních řízeních z titulu vlastnictví nebo z jiného zákonného důvodu.</w:t>
      </w:r>
    </w:p>
    <w:p w:rsidR="00D61D10" w:rsidRPr="009D0227" w:rsidRDefault="00D61D10" w:rsidP="003D40C8">
      <w:pPr>
        <w:spacing w:before="60" w:after="60" w:line="360" w:lineRule="auto"/>
        <w:ind w:firstLine="709"/>
        <w:jc w:val="both"/>
        <w:rPr>
          <w:rFonts w:ascii="Arial" w:hAnsi="Arial" w:cs="Arial"/>
          <w:bCs/>
          <w:sz w:val="24"/>
        </w:rPr>
      </w:pPr>
      <w:r>
        <w:rPr>
          <w:rFonts w:ascii="Arial" w:hAnsi="Arial" w:cs="Arial"/>
          <w:bCs/>
          <w:sz w:val="24"/>
        </w:rPr>
        <w:t>Úřad pro zastupování státu ve věcech majetkových investoval značné prostředky do vytvoření systému, který bude sledovat nejen evidenci majetku, účetnictví, ale zároveň i procesní postupy. Tento systém se nazývá Informační systém majetku státu a je provázaný s Informačním systémem spisové služby. Umožňuje provázanost evidenčních dat se spisem i s jednotlivými dokumenty.</w:t>
      </w:r>
    </w:p>
    <w:p w:rsidR="00A17B02" w:rsidRPr="00C46F30" w:rsidRDefault="00D61D10" w:rsidP="00A17B02">
      <w:pPr>
        <w:pStyle w:val="Nadpis1"/>
        <w:numPr>
          <w:ilvl w:val="0"/>
          <w:numId w:val="5"/>
        </w:numPr>
      </w:pPr>
      <w:bookmarkStart w:id="8" w:name="_Toc242422230"/>
      <w:r>
        <w:lastRenderedPageBreak/>
        <w:t>Informační systém majetku státu</w:t>
      </w:r>
      <w:bookmarkEnd w:id="8"/>
    </w:p>
    <w:p w:rsidR="0019794D" w:rsidRDefault="00D61D10" w:rsidP="00D61D10">
      <w:pPr>
        <w:spacing w:before="60" w:after="60" w:line="360" w:lineRule="auto"/>
        <w:ind w:firstLine="709"/>
        <w:jc w:val="both"/>
        <w:rPr>
          <w:rFonts w:ascii="Arial" w:hAnsi="Arial" w:cs="Arial"/>
          <w:bCs/>
          <w:sz w:val="24"/>
        </w:rPr>
      </w:pPr>
      <w:r w:rsidRPr="00D61D10">
        <w:rPr>
          <w:rFonts w:ascii="Arial" w:hAnsi="Arial" w:cs="Arial"/>
          <w:bCs/>
          <w:sz w:val="24"/>
        </w:rPr>
        <w:t>Do systému se přihlašuje</w:t>
      </w:r>
      <w:r w:rsidR="0019794D">
        <w:rPr>
          <w:rFonts w:ascii="Arial" w:hAnsi="Arial" w:cs="Arial"/>
          <w:bCs/>
          <w:sz w:val="24"/>
        </w:rPr>
        <w:t>,</w:t>
      </w:r>
      <w:r w:rsidRPr="00D61D10">
        <w:rPr>
          <w:rFonts w:ascii="Arial" w:hAnsi="Arial" w:cs="Arial"/>
          <w:bCs/>
          <w:sz w:val="24"/>
        </w:rPr>
        <w:t xml:space="preserve"> stejně jako do všech software</w:t>
      </w:r>
      <w:r w:rsidR="0019794D">
        <w:rPr>
          <w:rFonts w:ascii="Arial" w:hAnsi="Arial" w:cs="Arial"/>
          <w:bCs/>
          <w:sz w:val="24"/>
        </w:rPr>
        <w:t>,</w:t>
      </w:r>
      <w:r w:rsidRPr="00D61D10">
        <w:rPr>
          <w:rFonts w:ascii="Arial" w:hAnsi="Arial" w:cs="Arial"/>
          <w:bCs/>
          <w:sz w:val="24"/>
        </w:rPr>
        <w:t xml:space="preserve"> pomocí loginu a</w:t>
      </w:r>
      <w:r w:rsidR="006D7755">
        <w:rPr>
          <w:rFonts w:ascii="Arial" w:hAnsi="Arial" w:cs="Arial"/>
          <w:bCs/>
          <w:sz w:val="24"/>
        </w:rPr>
        <w:t> </w:t>
      </w:r>
      <w:r w:rsidRPr="00D61D10">
        <w:rPr>
          <w:rFonts w:ascii="Arial" w:hAnsi="Arial" w:cs="Arial"/>
          <w:bCs/>
          <w:sz w:val="24"/>
        </w:rPr>
        <w:t xml:space="preserve">hesla. </w:t>
      </w:r>
      <w:r w:rsidR="0019794D">
        <w:rPr>
          <w:rFonts w:ascii="Arial" w:hAnsi="Arial" w:cs="Arial"/>
          <w:bCs/>
          <w:sz w:val="24"/>
        </w:rPr>
        <w:t>Hesla splňují bezpečností předpisy. J</w:t>
      </w:r>
      <w:r w:rsidRPr="00D61D10">
        <w:rPr>
          <w:rFonts w:ascii="Arial" w:hAnsi="Arial" w:cs="Arial"/>
          <w:bCs/>
          <w:sz w:val="24"/>
        </w:rPr>
        <w:t>sou tedy jedinečná, kombinovaná systémem písmen, číslic a znaků. Přihlašovací jméno (login) a heslo je shodné s loginem a heslem umožňujícím načtení uživatelského profilu na počítači. Bez vyplnění těchto údajů není možné aplikaci sp</w:t>
      </w:r>
      <w:r w:rsidR="00F63701">
        <w:rPr>
          <w:rFonts w:ascii="Arial" w:hAnsi="Arial" w:cs="Arial"/>
          <w:bCs/>
          <w:sz w:val="24"/>
        </w:rPr>
        <w:t>ustit</w:t>
      </w:r>
      <w:r w:rsidRPr="00D61D10">
        <w:rPr>
          <w:rFonts w:ascii="Arial" w:hAnsi="Arial" w:cs="Arial"/>
          <w:bCs/>
          <w:sz w:val="24"/>
        </w:rPr>
        <w:t>.</w:t>
      </w:r>
    </w:p>
    <w:p w:rsidR="00142AA7" w:rsidRDefault="0019794D" w:rsidP="00D61D10">
      <w:pPr>
        <w:spacing w:before="60" w:after="60" w:line="360" w:lineRule="auto"/>
        <w:ind w:firstLine="709"/>
        <w:jc w:val="both"/>
        <w:rPr>
          <w:rFonts w:ascii="Arial" w:hAnsi="Arial" w:cs="Arial"/>
          <w:bCs/>
          <w:sz w:val="24"/>
        </w:rPr>
      </w:pPr>
      <w:r>
        <w:rPr>
          <w:rFonts w:ascii="Arial" w:hAnsi="Arial" w:cs="Arial"/>
          <w:bCs/>
          <w:sz w:val="24"/>
        </w:rPr>
        <w:t xml:space="preserve">Každý referent má svým vedoucím stanovená uživatelská práva a ta určují počet zpřístupněných modulů. </w:t>
      </w:r>
      <w:r w:rsidR="00F63701">
        <w:rPr>
          <w:rFonts w:ascii="Arial" w:hAnsi="Arial" w:cs="Arial"/>
          <w:bCs/>
          <w:sz w:val="24"/>
        </w:rPr>
        <w:t xml:space="preserve"> </w:t>
      </w:r>
      <w:r>
        <w:rPr>
          <w:rFonts w:ascii="Arial" w:hAnsi="Arial" w:cs="Arial"/>
          <w:bCs/>
          <w:sz w:val="24"/>
        </w:rPr>
        <w:t>Informační systém majetku státu (ISMS) zahrnuje obě zákonem stanovené evidence (operativní i účetní evidenci), přehled právních jednání, katastr nemovitostí, správu budov atd.</w:t>
      </w:r>
      <w:r w:rsidR="006D6394">
        <w:rPr>
          <w:rFonts w:ascii="Arial" w:hAnsi="Arial" w:cs="Arial"/>
          <w:bCs/>
          <w:sz w:val="24"/>
        </w:rPr>
        <w:t>, které se nazývají moduly.</w:t>
      </w:r>
    </w:p>
    <w:p w:rsidR="0019794D" w:rsidRPr="0019794D" w:rsidRDefault="0019794D" w:rsidP="0019794D">
      <w:pPr>
        <w:spacing w:before="60" w:after="60" w:line="360" w:lineRule="auto"/>
        <w:ind w:firstLine="709"/>
        <w:jc w:val="both"/>
        <w:rPr>
          <w:rFonts w:ascii="Arial" w:hAnsi="Arial" w:cs="Arial"/>
          <w:bCs/>
          <w:sz w:val="24"/>
        </w:rPr>
      </w:pPr>
      <w:r w:rsidRPr="0019794D">
        <w:rPr>
          <w:rFonts w:ascii="Arial" w:hAnsi="Arial" w:cs="Arial"/>
          <w:bCs/>
          <w:sz w:val="24"/>
        </w:rPr>
        <w:t xml:space="preserve">Základní uživatelské rozhraní ISMS je složeno z následujících prvků: </w:t>
      </w:r>
    </w:p>
    <w:p w:rsidR="0019794D" w:rsidRPr="0019794D" w:rsidRDefault="0019794D" w:rsidP="0019794D">
      <w:pPr>
        <w:numPr>
          <w:ilvl w:val="0"/>
          <w:numId w:val="7"/>
        </w:numPr>
        <w:spacing w:before="60" w:after="60" w:line="360" w:lineRule="auto"/>
        <w:jc w:val="both"/>
        <w:rPr>
          <w:rFonts w:ascii="Arial" w:hAnsi="Arial" w:cs="Arial"/>
          <w:bCs/>
          <w:sz w:val="24"/>
        </w:rPr>
      </w:pPr>
      <w:r w:rsidRPr="0019794D">
        <w:rPr>
          <w:rFonts w:ascii="Arial" w:hAnsi="Arial" w:cs="Arial"/>
          <w:bCs/>
          <w:sz w:val="24"/>
        </w:rPr>
        <w:t>Zcela nahoře je titulní lišta aplikace, která obsahuje zleva: název systému, číslo verze systému, jméno a příjmení uživatele, organizační zařazení přihlášeného uživatele, odkaz pro odhlášení ze systému a logo systému.</w:t>
      </w:r>
    </w:p>
    <w:p w:rsidR="0019794D" w:rsidRPr="0019794D" w:rsidRDefault="0019794D" w:rsidP="0019794D">
      <w:pPr>
        <w:numPr>
          <w:ilvl w:val="0"/>
          <w:numId w:val="7"/>
        </w:numPr>
        <w:spacing w:before="60" w:after="60" w:line="360" w:lineRule="auto"/>
        <w:jc w:val="both"/>
        <w:rPr>
          <w:rFonts w:ascii="Arial" w:hAnsi="Arial" w:cs="Arial"/>
          <w:bCs/>
          <w:sz w:val="24"/>
        </w:rPr>
      </w:pPr>
      <w:r w:rsidRPr="0019794D">
        <w:rPr>
          <w:rFonts w:ascii="Arial" w:hAnsi="Arial" w:cs="Arial"/>
          <w:bCs/>
          <w:sz w:val="24"/>
        </w:rPr>
        <w:t>V levé části okna se nachází základní menu systému – panel tlačítek pro vstup do jednotlivých modulů. Podoba základního menu (to, jaká tlačítka obsahuje) závisí na přístupovém oprávnění přihlášeného uživatele.</w:t>
      </w:r>
    </w:p>
    <w:p w:rsidR="0019794D" w:rsidRPr="0019794D" w:rsidRDefault="0019794D" w:rsidP="0019794D">
      <w:pPr>
        <w:numPr>
          <w:ilvl w:val="0"/>
          <w:numId w:val="7"/>
        </w:numPr>
        <w:spacing w:before="60" w:after="60" w:line="360" w:lineRule="auto"/>
        <w:jc w:val="both"/>
        <w:rPr>
          <w:rFonts w:ascii="Arial" w:hAnsi="Arial" w:cs="Arial"/>
          <w:bCs/>
          <w:sz w:val="24"/>
        </w:rPr>
      </w:pPr>
      <w:r w:rsidRPr="0019794D">
        <w:rPr>
          <w:rFonts w:ascii="Arial" w:hAnsi="Arial" w:cs="Arial"/>
          <w:bCs/>
          <w:sz w:val="24"/>
        </w:rPr>
        <w:t xml:space="preserve">Napravo od menu systému je plocha okna rozdělena horizontální čarou na dvě části s názvem Dnes a Novinky. Na úrovni nápisu Dnes je zcela vpravo zobrazeno také aktuální kalendářní datum. </w:t>
      </w:r>
    </w:p>
    <w:p w:rsidR="0019794D" w:rsidRPr="0019794D" w:rsidRDefault="0019794D" w:rsidP="0019794D">
      <w:pPr>
        <w:numPr>
          <w:ilvl w:val="0"/>
          <w:numId w:val="7"/>
        </w:numPr>
        <w:spacing w:before="60" w:after="60" w:line="360" w:lineRule="auto"/>
        <w:jc w:val="both"/>
        <w:rPr>
          <w:rFonts w:ascii="Arial" w:hAnsi="Arial" w:cs="Arial"/>
          <w:bCs/>
          <w:sz w:val="24"/>
        </w:rPr>
      </w:pPr>
      <w:r w:rsidRPr="0019794D">
        <w:rPr>
          <w:rFonts w:ascii="Arial" w:hAnsi="Arial" w:cs="Arial"/>
          <w:bCs/>
          <w:sz w:val="24"/>
        </w:rPr>
        <w:t xml:space="preserve">V části Dnes jsou zobrazována upozornění na důležité události nebo stavy určitých položek v uživatelských modulech, které vyžadují pozornost uživatele, a to formou hypertextových odkazů, které umožňují rychlý přístup k těmto položkám. Obsah této části okna se liší podle přístupového oprávněné uživatele. </w:t>
      </w:r>
    </w:p>
    <w:p w:rsidR="0019794D" w:rsidRDefault="0019794D" w:rsidP="0019794D">
      <w:pPr>
        <w:numPr>
          <w:ilvl w:val="0"/>
          <w:numId w:val="7"/>
        </w:numPr>
        <w:spacing w:before="60" w:after="60" w:line="360" w:lineRule="auto"/>
        <w:jc w:val="both"/>
        <w:rPr>
          <w:rFonts w:ascii="Arial" w:hAnsi="Arial" w:cs="Arial"/>
          <w:bCs/>
          <w:sz w:val="24"/>
        </w:rPr>
      </w:pPr>
      <w:r w:rsidRPr="0019794D">
        <w:rPr>
          <w:rFonts w:ascii="Arial" w:hAnsi="Arial" w:cs="Arial"/>
          <w:bCs/>
          <w:sz w:val="24"/>
        </w:rPr>
        <w:t>Část Novinky je určena pro různé zprávy a informace pro uživatele (pro všechny uživatele nebo vybranou skupinu uživatelů), zejména o provedených aktualizacích systému.</w:t>
      </w:r>
    </w:p>
    <w:p w:rsidR="00A17B02" w:rsidRPr="00C46F30" w:rsidRDefault="006D6394" w:rsidP="00A17B02">
      <w:pPr>
        <w:pStyle w:val="Nadpis1"/>
        <w:numPr>
          <w:ilvl w:val="0"/>
          <w:numId w:val="5"/>
        </w:numPr>
      </w:pPr>
      <w:bookmarkStart w:id="9" w:name="_Toc242422231"/>
      <w:r>
        <w:lastRenderedPageBreak/>
        <w:t>Moduly Informačního systému majetku státu</w:t>
      </w:r>
      <w:bookmarkEnd w:id="9"/>
    </w:p>
    <w:p w:rsidR="00BD13F9" w:rsidRDefault="006D6394" w:rsidP="006D6394">
      <w:pPr>
        <w:spacing w:before="60" w:after="60" w:line="360" w:lineRule="auto"/>
        <w:ind w:firstLine="709"/>
        <w:jc w:val="both"/>
        <w:rPr>
          <w:rFonts w:ascii="Arial" w:hAnsi="Arial" w:cs="Arial"/>
          <w:bCs/>
          <w:sz w:val="24"/>
        </w:rPr>
      </w:pPr>
      <w:r w:rsidRPr="006D6394">
        <w:rPr>
          <w:rFonts w:ascii="Arial" w:hAnsi="Arial" w:cs="Arial"/>
          <w:bCs/>
          <w:sz w:val="24"/>
        </w:rPr>
        <w:t xml:space="preserve">Jednotlivé moduly ISMS jsou vzájemně propojeny a umožňují uživateli sledovat nejen evidenční stav, ale i přírůstky a úbytky majetku </w:t>
      </w:r>
      <w:r w:rsidR="006C36E9">
        <w:rPr>
          <w:rFonts w:ascii="Arial" w:hAnsi="Arial" w:cs="Arial"/>
          <w:bCs/>
          <w:sz w:val="24"/>
        </w:rPr>
        <w:t xml:space="preserve">za určité období, stavy nakládání a způsoby realizace. </w:t>
      </w:r>
    </w:p>
    <w:p w:rsidR="006D6394" w:rsidRPr="006D6394" w:rsidRDefault="006D6394" w:rsidP="006D6394">
      <w:pPr>
        <w:spacing w:before="60" w:after="60" w:line="360" w:lineRule="auto"/>
        <w:ind w:firstLine="709"/>
        <w:jc w:val="both"/>
        <w:rPr>
          <w:rFonts w:ascii="Arial" w:hAnsi="Arial" w:cs="Arial"/>
          <w:bCs/>
          <w:sz w:val="24"/>
          <w:szCs w:val="26"/>
        </w:rPr>
      </w:pPr>
      <w:r w:rsidRPr="006D6394">
        <w:rPr>
          <w:rFonts w:ascii="Arial" w:hAnsi="Arial" w:cs="Arial"/>
          <w:bCs/>
          <w:sz w:val="24"/>
        </w:rPr>
        <w:t>Aktivací tlačítka s názvem modulu v základním menu aplikace se rozbalí nabídka úloh daného modulu v podobě rozevíracího seznamu (v dalším textu je používán pojem „stromeček“). Tento stromeček má několik úrovní, v nejvyšší úrovni obsahuje názvy jednotlivých bloků úloh (např. Majetek v</w:t>
      </w:r>
      <w:r w:rsidR="001E2BD9">
        <w:rPr>
          <w:rFonts w:ascii="Arial" w:hAnsi="Arial" w:cs="Arial"/>
          <w:bCs/>
          <w:sz w:val="24"/>
        </w:rPr>
        <w:t> </w:t>
      </w:r>
      <w:r w:rsidRPr="006D6394">
        <w:rPr>
          <w:rFonts w:ascii="Arial" w:hAnsi="Arial" w:cs="Arial"/>
          <w:bCs/>
          <w:sz w:val="24"/>
        </w:rPr>
        <w:t>účetnictví</w:t>
      </w:r>
      <w:r w:rsidR="001E2BD9">
        <w:rPr>
          <w:rFonts w:ascii="Arial" w:hAnsi="Arial" w:cs="Arial"/>
          <w:bCs/>
          <w:sz w:val="24"/>
        </w:rPr>
        <w:t>, Katastr nemovitostí</w:t>
      </w:r>
      <w:r w:rsidRPr="006D6394">
        <w:rPr>
          <w:rFonts w:ascii="Arial" w:hAnsi="Arial" w:cs="Arial"/>
          <w:bCs/>
          <w:sz w:val="24"/>
        </w:rPr>
        <w:t>). Vedle těchto názvů jsou zobrazena tlačítka pro rozbalení či sbalení podřízených seznamů s</w:t>
      </w:r>
      <w:r>
        <w:rPr>
          <w:rFonts w:ascii="Arial" w:hAnsi="Arial" w:cs="Arial"/>
          <w:bCs/>
          <w:sz w:val="24"/>
        </w:rPr>
        <w:t> p</w:t>
      </w:r>
      <w:r w:rsidRPr="006D6394">
        <w:rPr>
          <w:rFonts w:ascii="Arial" w:hAnsi="Arial" w:cs="Arial"/>
          <w:bCs/>
          <w:sz w:val="24"/>
        </w:rPr>
        <w:t>odrobnější nabídkou, např. v modulu M</w:t>
      </w:r>
      <w:r>
        <w:rPr>
          <w:rFonts w:ascii="Arial" w:hAnsi="Arial" w:cs="Arial"/>
          <w:bCs/>
          <w:sz w:val="24"/>
        </w:rPr>
        <w:t>ajetek v účetnictví</w:t>
      </w:r>
      <w:r w:rsidRPr="006D6394">
        <w:rPr>
          <w:rFonts w:ascii="Arial" w:hAnsi="Arial" w:cs="Arial"/>
          <w:bCs/>
          <w:sz w:val="24"/>
        </w:rPr>
        <w:t xml:space="preserve"> jsou to stavy příslušného objektu (majetkové položky, skupiny majetku, apod.).</w:t>
      </w:r>
    </w:p>
    <w:p w:rsidR="00A17B02" w:rsidRPr="00C46F30" w:rsidRDefault="001E2BD9" w:rsidP="00A17B02">
      <w:pPr>
        <w:pStyle w:val="Nadpis1"/>
        <w:numPr>
          <w:ilvl w:val="0"/>
          <w:numId w:val="5"/>
        </w:numPr>
      </w:pPr>
      <w:bookmarkStart w:id="10" w:name="_Toc242422232"/>
      <w:r>
        <w:t>Reporty a tisky</w:t>
      </w:r>
      <w:bookmarkEnd w:id="10"/>
    </w:p>
    <w:p w:rsidR="002D4212" w:rsidRDefault="00052218" w:rsidP="001E2BD9">
      <w:pPr>
        <w:spacing w:before="60" w:after="60" w:line="360" w:lineRule="auto"/>
        <w:ind w:firstLine="709"/>
        <w:jc w:val="both"/>
        <w:rPr>
          <w:rFonts w:ascii="Arial" w:hAnsi="Arial" w:cs="Arial"/>
          <w:bCs/>
          <w:sz w:val="24"/>
        </w:rPr>
      </w:pPr>
      <w:r>
        <w:rPr>
          <w:rFonts w:ascii="Arial" w:hAnsi="Arial" w:cs="Arial"/>
          <w:bCs/>
          <w:sz w:val="24"/>
        </w:rPr>
        <w:t xml:space="preserve">ISMS nabízí </w:t>
      </w:r>
      <w:r w:rsidRPr="006D6394">
        <w:rPr>
          <w:rFonts w:ascii="Arial" w:hAnsi="Arial" w:cs="Arial"/>
          <w:bCs/>
          <w:sz w:val="24"/>
        </w:rPr>
        <w:t>tiskov</w:t>
      </w:r>
      <w:r>
        <w:rPr>
          <w:rFonts w:ascii="Arial" w:hAnsi="Arial" w:cs="Arial"/>
          <w:bCs/>
          <w:sz w:val="24"/>
        </w:rPr>
        <w:t>é</w:t>
      </w:r>
      <w:r w:rsidRPr="006D6394">
        <w:rPr>
          <w:rFonts w:ascii="Arial" w:hAnsi="Arial" w:cs="Arial"/>
          <w:bCs/>
          <w:sz w:val="24"/>
        </w:rPr>
        <w:t xml:space="preserve"> výstup</w:t>
      </w:r>
      <w:r>
        <w:rPr>
          <w:rFonts w:ascii="Arial" w:hAnsi="Arial" w:cs="Arial"/>
          <w:bCs/>
          <w:sz w:val="24"/>
        </w:rPr>
        <w:t>y</w:t>
      </w:r>
      <w:r w:rsidRPr="006D6394">
        <w:rPr>
          <w:rFonts w:ascii="Arial" w:hAnsi="Arial" w:cs="Arial"/>
          <w:bCs/>
          <w:sz w:val="24"/>
        </w:rPr>
        <w:t xml:space="preserve"> ve formě reportů</w:t>
      </w:r>
      <w:r>
        <w:rPr>
          <w:rFonts w:ascii="Arial" w:hAnsi="Arial" w:cs="Arial"/>
          <w:bCs/>
          <w:sz w:val="24"/>
        </w:rPr>
        <w:t xml:space="preserve"> s </w:t>
      </w:r>
      <w:r w:rsidRPr="006D6394">
        <w:rPr>
          <w:rFonts w:ascii="Arial" w:hAnsi="Arial" w:cs="Arial"/>
          <w:bCs/>
          <w:sz w:val="24"/>
        </w:rPr>
        <w:t>pevně zadaný</w:t>
      </w:r>
      <w:r>
        <w:rPr>
          <w:rFonts w:ascii="Arial" w:hAnsi="Arial" w:cs="Arial"/>
          <w:bCs/>
          <w:sz w:val="24"/>
        </w:rPr>
        <w:t>mi formáty,</w:t>
      </w:r>
      <w:r w:rsidRPr="006D6394">
        <w:rPr>
          <w:rFonts w:ascii="Arial" w:hAnsi="Arial" w:cs="Arial"/>
          <w:bCs/>
          <w:sz w:val="24"/>
        </w:rPr>
        <w:t xml:space="preserve"> a</w:t>
      </w:r>
      <w:r w:rsidR="002D4212">
        <w:rPr>
          <w:rFonts w:ascii="Arial" w:hAnsi="Arial" w:cs="Arial"/>
          <w:bCs/>
          <w:sz w:val="24"/>
        </w:rPr>
        <w:t> </w:t>
      </w:r>
      <w:r w:rsidRPr="006D6394">
        <w:rPr>
          <w:rFonts w:ascii="Arial" w:hAnsi="Arial" w:cs="Arial"/>
          <w:bCs/>
          <w:sz w:val="24"/>
        </w:rPr>
        <w:t>tiskových sestav, které umož</w:t>
      </w:r>
      <w:r>
        <w:rPr>
          <w:rFonts w:ascii="Arial" w:hAnsi="Arial" w:cs="Arial"/>
          <w:bCs/>
          <w:sz w:val="24"/>
        </w:rPr>
        <w:t>ňují uživatelské nastavení</w:t>
      </w:r>
      <w:r w:rsidRPr="006D6394">
        <w:rPr>
          <w:rFonts w:ascii="Arial" w:hAnsi="Arial" w:cs="Arial"/>
          <w:bCs/>
          <w:sz w:val="24"/>
        </w:rPr>
        <w:t>.</w:t>
      </w:r>
      <w:r w:rsidR="001E2BD9" w:rsidRPr="001E2BD9">
        <w:rPr>
          <w:rFonts w:ascii="Arial" w:hAnsi="Arial" w:cs="Arial"/>
          <w:bCs/>
          <w:sz w:val="24"/>
        </w:rPr>
        <w:t>Předdefinované reporty</w:t>
      </w:r>
      <w:r w:rsidR="001E2BD9">
        <w:rPr>
          <w:rFonts w:ascii="Arial" w:hAnsi="Arial" w:cs="Arial"/>
          <w:bCs/>
          <w:sz w:val="24"/>
        </w:rPr>
        <w:t xml:space="preserve"> jsou</w:t>
      </w:r>
      <w:r w:rsidR="001E2BD9" w:rsidRPr="001E2BD9">
        <w:rPr>
          <w:rFonts w:ascii="Arial" w:hAnsi="Arial" w:cs="Arial"/>
          <w:bCs/>
          <w:sz w:val="24"/>
        </w:rPr>
        <w:t xml:space="preserve"> určené pro export</w:t>
      </w:r>
      <w:r w:rsidR="001E2BD9">
        <w:rPr>
          <w:rFonts w:ascii="Arial" w:hAnsi="Arial" w:cs="Arial"/>
          <w:bCs/>
          <w:sz w:val="24"/>
        </w:rPr>
        <w:t xml:space="preserve"> seznamů</w:t>
      </w:r>
      <w:r w:rsidR="001E2BD9" w:rsidRPr="001E2BD9">
        <w:rPr>
          <w:rFonts w:ascii="Arial" w:hAnsi="Arial" w:cs="Arial"/>
          <w:bCs/>
          <w:sz w:val="24"/>
        </w:rPr>
        <w:t xml:space="preserve"> z ISMS. </w:t>
      </w:r>
    </w:p>
    <w:p w:rsidR="001E2BD9" w:rsidRDefault="001E2BD9" w:rsidP="001E2BD9">
      <w:pPr>
        <w:spacing w:before="60" w:after="60" w:line="360" w:lineRule="auto"/>
        <w:ind w:firstLine="709"/>
        <w:jc w:val="both"/>
        <w:rPr>
          <w:rFonts w:ascii="Arial" w:hAnsi="Arial" w:cs="Arial"/>
          <w:bCs/>
          <w:sz w:val="24"/>
        </w:rPr>
      </w:pPr>
      <w:r w:rsidRPr="001E2BD9">
        <w:rPr>
          <w:rFonts w:ascii="Arial" w:hAnsi="Arial" w:cs="Arial"/>
          <w:bCs/>
          <w:sz w:val="24"/>
        </w:rPr>
        <w:t>V rámci základního uživatelského rozhraní, po rozkliknutí požadovaného modulu v základním strom</w:t>
      </w:r>
      <w:r>
        <w:rPr>
          <w:rFonts w:ascii="Arial" w:hAnsi="Arial" w:cs="Arial"/>
          <w:bCs/>
          <w:sz w:val="24"/>
        </w:rPr>
        <w:t>ečku</w:t>
      </w:r>
      <w:r w:rsidRPr="001E2BD9">
        <w:rPr>
          <w:rFonts w:ascii="Arial" w:hAnsi="Arial" w:cs="Arial"/>
          <w:bCs/>
          <w:sz w:val="24"/>
        </w:rPr>
        <w:t xml:space="preserve"> nabídky,  jsou na pravé části obrazovky viditelná tlačítka REPORTY a</w:t>
      </w:r>
      <w:r w:rsidR="006D7755">
        <w:rPr>
          <w:rFonts w:ascii="Arial" w:hAnsi="Arial" w:cs="Arial"/>
          <w:bCs/>
          <w:sz w:val="24"/>
        </w:rPr>
        <w:t> </w:t>
      </w:r>
      <w:r w:rsidRPr="001E2BD9">
        <w:rPr>
          <w:rFonts w:ascii="Arial" w:hAnsi="Arial" w:cs="Arial"/>
          <w:bCs/>
          <w:sz w:val="24"/>
        </w:rPr>
        <w:t xml:space="preserve">REPORTY DS. </w:t>
      </w:r>
      <w:r>
        <w:rPr>
          <w:rFonts w:ascii="Arial" w:hAnsi="Arial" w:cs="Arial"/>
          <w:bCs/>
          <w:sz w:val="24"/>
        </w:rPr>
        <w:t>Tyto reporty odebírají data buď</w:t>
      </w:r>
      <w:r w:rsidRPr="001E2BD9">
        <w:rPr>
          <w:rFonts w:ascii="Arial" w:hAnsi="Arial" w:cs="Arial"/>
          <w:bCs/>
          <w:sz w:val="24"/>
        </w:rPr>
        <w:t xml:space="preserve"> aktuální nebo z</w:t>
      </w:r>
      <w:r w:rsidR="00C75525">
        <w:rPr>
          <w:rFonts w:ascii="Arial" w:hAnsi="Arial" w:cs="Arial"/>
          <w:bCs/>
          <w:sz w:val="24"/>
        </w:rPr>
        <w:t> </w:t>
      </w:r>
      <w:r w:rsidRPr="001E2BD9">
        <w:rPr>
          <w:rFonts w:ascii="Arial" w:hAnsi="Arial" w:cs="Arial"/>
          <w:bCs/>
          <w:sz w:val="24"/>
        </w:rPr>
        <w:t>datového skladu, tj. mají dopředu určené, jestli výstup bude aktuální, příp. za určité období.</w:t>
      </w:r>
      <w:r>
        <w:rPr>
          <w:rFonts w:ascii="Arial" w:hAnsi="Arial" w:cs="Arial"/>
          <w:bCs/>
          <w:sz w:val="24"/>
        </w:rPr>
        <w:t xml:space="preserve"> Reporty umožňují vytisknout výstupy z aktuálních dat, tedy k okamžiku generování reportu. Reporty DS označují výstupy z datového skladu po měsíční uzávěrce dat a jsou již neměnné.</w:t>
      </w:r>
    </w:p>
    <w:p w:rsidR="001E2BD9" w:rsidRPr="00C46F30" w:rsidRDefault="001E2BD9" w:rsidP="001E2BD9">
      <w:pPr>
        <w:pStyle w:val="Nadpis1"/>
        <w:numPr>
          <w:ilvl w:val="0"/>
          <w:numId w:val="5"/>
        </w:numPr>
      </w:pPr>
      <w:bookmarkStart w:id="11" w:name="_Toc242422233"/>
      <w:r>
        <w:t>Druhy majetku evidované v ISMS</w:t>
      </w:r>
      <w:bookmarkEnd w:id="11"/>
    </w:p>
    <w:p w:rsidR="009175D4" w:rsidRDefault="009175D4" w:rsidP="009175D4">
      <w:pPr>
        <w:spacing w:before="60" w:after="60" w:line="360" w:lineRule="auto"/>
        <w:ind w:firstLine="709"/>
        <w:jc w:val="both"/>
        <w:rPr>
          <w:rFonts w:ascii="Arial" w:hAnsi="Arial" w:cs="Arial"/>
          <w:bCs/>
          <w:sz w:val="24"/>
        </w:rPr>
      </w:pPr>
      <w:r>
        <w:rPr>
          <w:rFonts w:ascii="Arial" w:hAnsi="Arial" w:cs="Arial"/>
          <w:bCs/>
          <w:sz w:val="24"/>
        </w:rPr>
        <w:t>ISMS rozlišuje tři základní kate</w:t>
      </w:r>
      <w:r w:rsidRPr="009175D4">
        <w:rPr>
          <w:rFonts w:ascii="Arial" w:hAnsi="Arial" w:cs="Arial"/>
          <w:bCs/>
          <w:sz w:val="24"/>
        </w:rPr>
        <w:t xml:space="preserve">gorie </w:t>
      </w:r>
      <w:r>
        <w:rPr>
          <w:rFonts w:ascii="Arial" w:hAnsi="Arial" w:cs="Arial"/>
          <w:bCs/>
          <w:sz w:val="24"/>
        </w:rPr>
        <w:t>majetku. Majetek nemovitý, movitý a</w:t>
      </w:r>
      <w:r w:rsidR="006D7755">
        <w:rPr>
          <w:rFonts w:ascii="Arial" w:hAnsi="Arial" w:cs="Arial"/>
          <w:bCs/>
          <w:sz w:val="24"/>
        </w:rPr>
        <w:t> </w:t>
      </w:r>
      <w:r>
        <w:rPr>
          <w:rFonts w:ascii="Arial" w:hAnsi="Arial" w:cs="Arial"/>
          <w:bCs/>
          <w:sz w:val="24"/>
        </w:rPr>
        <w:t>finanční. Každá z těchto kategorií je dále členěna do skupin a podskupin, jejichž zvo</w:t>
      </w:r>
      <w:r w:rsidR="009047A1">
        <w:rPr>
          <w:rFonts w:ascii="Arial" w:hAnsi="Arial" w:cs="Arial"/>
          <w:bCs/>
          <w:sz w:val="24"/>
        </w:rPr>
        <w:t>lením se předkontuje zaúčtování a zároveň jsou díky nim umožněny přehledné statistické výstupy, které slouží pro potřeby kontroly, managerského hodnocení, zákonem předepsaných statistických výkazů atd.</w:t>
      </w:r>
    </w:p>
    <w:p w:rsidR="009047A1" w:rsidRDefault="009175D4" w:rsidP="009175D4">
      <w:pPr>
        <w:spacing w:before="60" w:after="60" w:line="360" w:lineRule="auto"/>
        <w:ind w:firstLine="709"/>
        <w:jc w:val="both"/>
        <w:rPr>
          <w:rFonts w:ascii="Arial" w:hAnsi="Arial" w:cs="Arial"/>
          <w:bCs/>
          <w:sz w:val="24"/>
        </w:rPr>
      </w:pPr>
      <w:r>
        <w:rPr>
          <w:rFonts w:ascii="Arial" w:hAnsi="Arial" w:cs="Arial"/>
          <w:bCs/>
          <w:sz w:val="24"/>
        </w:rPr>
        <w:t xml:space="preserve">Kategorie </w:t>
      </w:r>
      <w:r w:rsidRPr="009175D4">
        <w:rPr>
          <w:rFonts w:ascii="Arial" w:hAnsi="Arial" w:cs="Arial"/>
          <w:bCs/>
          <w:sz w:val="24"/>
        </w:rPr>
        <w:t>nemovitého majetku</w:t>
      </w:r>
      <w:r w:rsidR="009047A1">
        <w:rPr>
          <w:rFonts w:ascii="Arial" w:hAnsi="Arial" w:cs="Arial"/>
          <w:bCs/>
          <w:sz w:val="24"/>
        </w:rPr>
        <w:t xml:space="preserve"> </w:t>
      </w:r>
      <w:r w:rsidRPr="009175D4">
        <w:rPr>
          <w:rFonts w:ascii="Arial" w:hAnsi="Arial" w:cs="Arial"/>
          <w:bCs/>
          <w:sz w:val="24"/>
        </w:rPr>
        <w:t>je dále členěna na budovy a stavby a pozemky</w:t>
      </w:r>
      <w:r w:rsidR="009047A1">
        <w:rPr>
          <w:rFonts w:ascii="Arial" w:hAnsi="Arial" w:cs="Arial"/>
          <w:bCs/>
          <w:sz w:val="24"/>
        </w:rPr>
        <w:t xml:space="preserve">. </w:t>
      </w:r>
      <w:r w:rsidRPr="009175D4">
        <w:rPr>
          <w:rFonts w:ascii="Arial" w:hAnsi="Arial" w:cs="Arial"/>
          <w:bCs/>
          <w:sz w:val="24"/>
        </w:rPr>
        <w:t>Budovou se rozumí stavba spojená se zemí pevným základem. Do této pod-kategorie patří budova, které se přiděluje popisné nebo evidenční číslo,</w:t>
      </w:r>
      <w:r w:rsidR="009047A1">
        <w:rPr>
          <w:rFonts w:ascii="Arial" w:hAnsi="Arial" w:cs="Arial"/>
          <w:bCs/>
          <w:sz w:val="24"/>
        </w:rPr>
        <w:t xml:space="preserve"> </w:t>
      </w:r>
      <w:r w:rsidRPr="009175D4">
        <w:rPr>
          <w:rFonts w:ascii="Arial" w:hAnsi="Arial" w:cs="Arial"/>
          <w:bCs/>
          <w:sz w:val="24"/>
        </w:rPr>
        <w:t xml:space="preserve">budova, </w:t>
      </w:r>
      <w:r w:rsidRPr="009175D4">
        <w:rPr>
          <w:rFonts w:ascii="Arial" w:hAnsi="Arial" w:cs="Arial"/>
          <w:bCs/>
          <w:sz w:val="24"/>
        </w:rPr>
        <w:lastRenderedPageBreak/>
        <w:t>které se popisné nebo evidenční číslo nepřiděluje</w:t>
      </w:r>
      <w:r w:rsidR="009047A1">
        <w:rPr>
          <w:rFonts w:ascii="Arial" w:hAnsi="Arial" w:cs="Arial"/>
          <w:bCs/>
          <w:sz w:val="24"/>
        </w:rPr>
        <w:t xml:space="preserve"> </w:t>
      </w:r>
      <w:r w:rsidRPr="009175D4">
        <w:rPr>
          <w:rFonts w:ascii="Arial" w:hAnsi="Arial" w:cs="Arial"/>
          <w:bCs/>
          <w:sz w:val="24"/>
        </w:rPr>
        <w:t>a která není příslušenstvím jiné stavby evidované na téže parcele,</w:t>
      </w:r>
      <w:r w:rsidR="009047A1">
        <w:rPr>
          <w:rFonts w:ascii="Arial" w:hAnsi="Arial" w:cs="Arial"/>
          <w:bCs/>
          <w:sz w:val="24"/>
        </w:rPr>
        <w:t xml:space="preserve"> </w:t>
      </w:r>
      <w:r w:rsidRPr="009175D4">
        <w:rPr>
          <w:rFonts w:ascii="Arial" w:hAnsi="Arial" w:cs="Arial"/>
          <w:bCs/>
          <w:sz w:val="24"/>
        </w:rPr>
        <w:t>byt a nebytový prostor vymezený jako jednotka,</w:t>
      </w:r>
      <w:r w:rsidR="009047A1">
        <w:rPr>
          <w:rFonts w:ascii="Arial" w:hAnsi="Arial" w:cs="Arial"/>
          <w:bCs/>
          <w:sz w:val="24"/>
        </w:rPr>
        <w:t xml:space="preserve"> </w:t>
      </w:r>
      <w:r w:rsidRPr="009175D4">
        <w:rPr>
          <w:rFonts w:ascii="Arial" w:hAnsi="Arial" w:cs="Arial"/>
          <w:bCs/>
          <w:sz w:val="24"/>
        </w:rPr>
        <w:t>rozestavěná budova nebo byty a nebytové prostory, které budou podléhat evidenci v</w:t>
      </w:r>
      <w:r w:rsidR="009047A1">
        <w:rPr>
          <w:rFonts w:ascii="Arial" w:hAnsi="Arial" w:cs="Arial"/>
          <w:bCs/>
          <w:sz w:val="24"/>
        </w:rPr>
        <w:t> </w:t>
      </w:r>
      <w:r w:rsidRPr="009175D4">
        <w:rPr>
          <w:rFonts w:ascii="Arial" w:hAnsi="Arial" w:cs="Arial"/>
          <w:bCs/>
          <w:sz w:val="24"/>
        </w:rPr>
        <w:t>katastru nemovitostí.</w:t>
      </w:r>
      <w:r w:rsidR="009047A1">
        <w:rPr>
          <w:rFonts w:ascii="Arial" w:hAnsi="Arial" w:cs="Arial"/>
          <w:bCs/>
          <w:sz w:val="24"/>
        </w:rPr>
        <w:t xml:space="preserve"> </w:t>
      </w:r>
      <w:r w:rsidRPr="009175D4">
        <w:rPr>
          <w:rFonts w:ascii="Arial" w:hAnsi="Arial" w:cs="Arial"/>
          <w:bCs/>
          <w:sz w:val="24"/>
        </w:rPr>
        <w:t>Stavbou se rozumí drobná stavba neevidovaná v katastru nemovitostí.</w:t>
      </w:r>
      <w:r w:rsidR="009047A1">
        <w:rPr>
          <w:rFonts w:ascii="Arial" w:hAnsi="Arial" w:cs="Arial"/>
          <w:bCs/>
          <w:sz w:val="24"/>
        </w:rPr>
        <w:t xml:space="preserve"> </w:t>
      </w:r>
      <w:r w:rsidRPr="009175D4">
        <w:rPr>
          <w:rFonts w:ascii="Arial" w:hAnsi="Arial" w:cs="Arial"/>
          <w:bCs/>
          <w:sz w:val="24"/>
        </w:rPr>
        <w:t>Pozemkem je parcela evidovaná v katastru nemovitostí, která je členěna dále podle druhu a využití.</w:t>
      </w:r>
    </w:p>
    <w:p w:rsidR="009047A1" w:rsidRDefault="009047A1" w:rsidP="009175D4">
      <w:pPr>
        <w:spacing w:before="60" w:after="60" w:line="360" w:lineRule="auto"/>
        <w:ind w:firstLine="709"/>
        <w:jc w:val="both"/>
        <w:rPr>
          <w:rFonts w:ascii="Arial" w:hAnsi="Arial" w:cs="Arial"/>
          <w:bCs/>
          <w:sz w:val="24"/>
        </w:rPr>
      </w:pPr>
      <w:r>
        <w:rPr>
          <w:rFonts w:ascii="Arial" w:hAnsi="Arial" w:cs="Arial"/>
          <w:bCs/>
          <w:sz w:val="24"/>
        </w:rPr>
        <w:t>K</w:t>
      </w:r>
      <w:r w:rsidR="009175D4" w:rsidRPr="009175D4">
        <w:rPr>
          <w:rFonts w:ascii="Arial" w:hAnsi="Arial" w:cs="Arial"/>
          <w:bCs/>
          <w:sz w:val="24"/>
        </w:rPr>
        <w:t>ategori</w:t>
      </w:r>
      <w:r>
        <w:rPr>
          <w:rFonts w:ascii="Arial" w:hAnsi="Arial" w:cs="Arial"/>
          <w:bCs/>
          <w:sz w:val="24"/>
        </w:rPr>
        <w:t>i</w:t>
      </w:r>
      <w:r w:rsidR="009175D4" w:rsidRPr="009175D4">
        <w:rPr>
          <w:rFonts w:ascii="Arial" w:hAnsi="Arial" w:cs="Arial"/>
          <w:bCs/>
          <w:sz w:val="24"/>
        </w:rPr>
        <w:t xml:space="preserve"> movitého majetku je </w:t>
      </w:r>
      <w:r>
        <w:rPr>
          <w:rFonts w:ascii="Arial" w:hAnsi="Arial" w:cs="Arial"/>
          <w:bCs/>
          <w:sz w:val="24"/>
        </w:rPr>
        <w:t>možné dále členit dle SKP, resp. CZ CPA.</w:t>
      </w:r>
      <w:r w:rsidR="009175D4" w:rsidRPr="009175D4">
        <w:rPr>
          <w:rFonts w:ascii="Arial" w:hAnsi="Arial" w:cs="Arial"/>
          <w:bCs/>
          <w:sz w:val="24"/>
        </w:rPr>
        <w:t xml:space="preserve"> Věc movitá je věc, kterou je možné bez porušení její podstaty přemísťovat, pokud netvoří součást nebo příslušenství nemovitosti (tj. vše, co je s ní spojeno nebo určeno k</w:t>
      </w:r>
      <w:r w:rsidR="006D7755">
        <w:rPr>
          <w:rFonts w:ascii="Arial" w:hAnsi="Arial" w:cs="Arial"/>
          <w:bCs/>
          <w:sz w:val="24"/>
        </w:rPr>
        <w:t> t</w:t>
      </w:r>
      <w:r w:rsidR="009175D4" w:rsidRPr="009175D4">
        <w:rPr>
          <w:rFonts w:ascii="Arial" w:hAnsi="Arial" w:cs="Arial"/>
          <w:bCs/>
          <w:sz w:val="24"/>
        </w:rPr>
        <w:t>rvalému používání).</w:t>
      </w:r>
    </w:p>
    <w:p w:rsidR="009175D4" w:rsidRPr="009175D4" w:rsidRDefault="009047A1" w:rsidP="009175D4">
      <w:pPr>
        <w:spacing w:before="60" w:after="60" w:line="360" w:lineRule="auto"/>
        <w:ind w:firstLine="709"/>
        <w:jc w:val="both"/>
        <w:rPr>
          <w:rFonts w:ascii="Arial" w:hAnsi="Arial" w:cs="Arial"/>
          <w:bCs/>
          <w:sz w:val="24"/>
        </w:rPr>
      </w:pPr>
      <w:r>
        <w:rPr>
          <w:rFonts w:ascii="Arial" w:hAnsi="Arial" w:cs="Arial"/>
          <w:bCs/>
          <w:sz w:val="24"/>
        </w:rPr>
        <w:t>Třetí k</w:t>
      </w:r>
      <w:r w:rsidR="009175D4" w:rsidRPr="009175D4">
        <w:rPr>
          <w:rFonts w:ascii="Arial" w:hAnsi="Arial" w:cs="Arial"/>
          <w:bCs/>
          <w:sz w:val="24"/>
        </w:rPr>
        <w:t>ategori</w:t>
      </w:r>
      <w:r>
        <w:rPr>
          <w:rFonts w:ascii="Arial" w:hAnsi="Arial" w:cs="Arial"/>
          <w:bCs/>
          <w:sz w:val="24"/>
        </w:rPr>
        <w:t>í evidovaného maj</w:t>
      </w:r>
      <w:r w:rsidR="009175D4" w:rsidRPr="009175D4">
        <w:rPr>
          <w:rFonts w:ascii="Arial" w:hAnsi="Arial" w:cs="Arial"/>
          <w:bCs/>
          <w:sz w:val="24"/>
        </w:rPr>
        <w:t>e</w:t>
      </w:r>
      <w:r>
        <w:rPr>
          <w:rFonts w:ascii="Arial" w:hAnsi="Arial" w:cs="Arial"/>
          <w:bCs/>
          <w:sz w:val="24"/>
        </w:rPr>
        <w:t xml:space="preserve">tku je </w:t>
      </w:r>
      <w:r w:rsidR="009175D4" w:rsidRPr="009175D4">
        <w:rPr>
          <w:rFonts w:ascii="Arial" w:hAnsi="Arial" w:cs="Arial"/>
          <w:bCs/>
          <w:sz w:val="24"/>
        </w:rPr>
        <w:t>finanční majet</w:t>
      </w:r>
      <w:r>
        <w:rPr>
          <w:rFonts w:ascii="Arial" w:hAnsi="Arial" w:cs="Arial"/>
          <w:bCs/>
          <w:sz w:val="24"/>
        </w:rPr>
        <w:t>e</w:t>
      </w:r>
      <w:r w:rsidR="009175D4" w:rsidRPr="009175D4">
        <w:rPr>
          <w:rFonts w:ascii="Arial" w:hAnsi="Arial" w:cs="Arial"/>
          <w:bCs/>
          <w:sz w:val="24"/>
        </w:rPr>
        <w:t>k</w:t>
      </w:r>
      <w:r>
        <w:rPr>
          <w:rFonts w:ascii="Arial" w:hAnsi="Arial" w:cs="Arial"/>
          <w:bCs/>
          <w:sz w:val="24"/>
        </w:rPr>
        <w:t>. Ten se</w:t>
      </w:r>
      <w:r w:rsidR="009175D4" w:rsidRPr="009175D4">
        <w:rPr>
          <w:rFonts w:ascii="Arial" w:hAnsi="Arial" w:cs="Arial"/>
          <w:bCs/>
          <w:sz w:val="24"/>
        </w:rPr>
        <w:t xml:space="preserve"> dále člení na podkategorie cenných</w:t>
      </w:r>
      <w:r>
        <w:rPr>
          <w:rFonts w:ascii="Arial" w:hAnsi="Arial" w:cs="Arial"/>
          <w:bCs/>
          <w:sz w:val="24"/>
        </w:rPr>
        <w:t xml:space="preserve"> papírů</w:t>
      </w:r>
      <w:r w:rsidR="009175D4" w:rsidRPr="009175D4">
        <w:rPr>
          <w:rFonts w:ascii="Arial" w:hAnsi="Arial" w:cs="Arial"/>
          <w:bCs/>
          <w:sz w:val="24"/>
        </w:rPr>
        <w:t>, majetkových účastí a ostatního dlouhodobého finančního majetku</w:t>
      </w:r>
      <w:r>
        <w:rPr>
          <w:rFonts w:ascii="Arial" w:hAnsi="Arial" w:cs="Arial"/>
          <w:bCs/>
          <w:sz w:val="24"/>
        </w:rPr>
        <w:t>.</w:t>
      </w:r>
    </w:p>
    <w:p w:rsidR="009175D4" w:rsidRPr="009047A1" w:rsidRDefault="009175D4" w:rsidP="009175D4">
      <w:pPr>
        <w:spacing w:before="60" w:after="60" w:line="360" w:lineRule="auto"/>
        <w:ind w:firstLine="709"/>
        <w:jc w:val="both"/>
        <w:rPr>
          <w:rFonts w:ascii="Arial" w:hAnsi="Arial" w:cs="Arial"/>
          <w:bCs/>
          <w:sz w:val="24"/>
        </w:rPr>
      </w:pPr>
      <w:r w:rsidRPr="009175D4">
        <w:rPr>
          <w:rFonts w:ascii="Arial" w:hAnsi="Arial" w:cs="Arial"/>
          <w:bCs/>
          <w:sz w:val="24"/>
        </w:rPr>
        <w:t>Cennými papíry se rozumí především akcie, zatímní listy, poukázky na akcie,  podílové listy, dluhopisy, investiční kupóny, kupóny, opční listy, směnky, šeky, náložné listy, skladištní listy a zemědělské skladní listy. Cenné papíry mohou mít formu cenného papíru na doručitele (majitele), na řad nebo na jméno a mohou být vydávány v listinné nebo zaknihované (dematerializované) podobě. Obecně je cenný papír nositelem právního nároku, který v sobě ztělesňuje. Majetkovou účastí se v</w:t>
      </w:r>
      <w:r w:rsidR="006D7755">
        <w:rPr>
          <w:rFonts w:ascii="Arial" w:hAnsi="Arial" w:cs="Arial"/>
          <w:bCs/>
          <w:sz w:val="24"/>
        </w:rPr>
        <w:t> </w:t>
      </w:r>
      <w:r w:rsidRPr="009175D4">
        <w:rPr>
          <w:rFonts w:ascii="Arial" w:hAnsi="Arial" w:cs="Arial"/>
          <w:bCs/>
          <w:sz w:val="24"/>
        </w:rPr>
        <w:t>tomto přehledu rozumí majetkové podíly na obchodních společnostech a</w:t>
      </w:r>
      <w:r w:rsidR="006D7755">
        <w:rPr>
          <w:rFonts w:ascii="Arial" w:hAnsi="Arial" w:cs="Arial"/>
          <w:bCs/>
          <w:sz w:val="24"/>
        </w:rPr>
        <w:t> d</w:t>
      </w:r>
      <w:r w:rsidRPr="009175D4">
        <w:rPr>
          <w:rFonts w:ascii="Arial" w:hAnsi="Arial" w:cs="Arial"/>
          <w:bCs/>
          <w:sz w:val="24"/>
        </w:rPr>
        <w:t>ružstvech. Majetková účast v obchodní společnosti (mimo jiné) potvrzuje právo majitele na podíl na dosaženém hospodářském výsledku a na likvidačním zůstatku obchodní společnosti. Majetková účast v družstvech označuje majetkovou účast na základním kapitálu družstva, které tvoří souhrn členských vkladů. Družstvem se rozumí společenství neuzavřeného počtu osob založeným za účelem podnikání nebo zajišťování hospodářských, sociálních anebo jiných potřeb svých členů. Ostatním dlouhodobým finančním majetkem je každý dlouhodobý</w:t>
      </w:r>
      <w:r w:rsidRPr="009047A1">
        <w:rPr>
          <w:rFonts w:ascii="Arial" w:hAnsi="Arial" w:cs="Arial"/>
          <w:bCs/>
          <w:sz w:val="24"/>
        </w:rPr>
        <w:t xml:space="preserve"> finanční majetek nezařazený v předchozích dvou kategoriích.</w:t>
      </w:r>
    </w:p>
    <w:p w:rsidR="00A17B02" w:rsidRPr="00C46F30" w:rsidRDefault="00A17B02" w:rsidP="009175D4">
      <w:pPr>
        <w:pStyle w:val="Nadpis1"/>
        <w:numPr>
          <w:ilvl w:val="0"/>
          <w:numId w:val="5"/>
        </w:numPr>
      </w:pPr>
      <w:bookmarkStart w:id="12" w:name="_Toc242422234"/>
      <w:r w:rsidRPr="00C46F30">
        <w:t>Závěr</w:t>
      </w:r>
      <w:bookmarkEnd w:id="12"/>
    </w:p>
    <w:p w:rsidR="00DA2507" w:rsidRPr="00F22999" w:rsidRDefault="00DA2507" w:rsidP="00DA2507">
      <w:pPr>
        <w:spacing w:before="60" w:after="60" w:line="360" w:lineRule="auto"/>
        <w:ind w:firstLine="709"/>
        <w:jc w:val="both"/>
        <w:rPr>
          <w:rFonts w:ascii="Arial" w:hAnsi="Arial" w:cs="Arial"/>
          <w:bCs/>
          <w:sz w:val="24"/>
        </w:rPr>
      </w:pPr>
      <w:r w:rsidRPr="00F22999">
        <w:rPr>
          <w:rFonts w:ascii="Arial" w:hAnsi="Arial" w:cs="Arial"/>
          <w:bCs/>
          <w:sz w:val="24"/>
        </w:rPr>
        <w:t>V současné době jedinou institucí, která má přehled o nemovitém, movitém</w:t>
      </w:r>
      <w:r w:rsidRPr="00F22999">
        <w:rPr>
          <w:rFonts w:ascii="Arial" w:hAnsi="Arial" w:cs="Arial"/>
          <w:bCs/>
          <w:sz w:val="24"/>
        </w:rPr>
        <w:br/>
        <w:t xml:space="preserve">a finančním majetku státu jako celku, je Český statistický úřad. Tomu o něm a o své činnosti odevzdávají všechny subjekty každoročně statistické výkazy obsahující </w:t>
      </w:r>
      <w:r w:rsidRPr="00F22999">
        <w:rPr>
          <w:rFonts w:ascii="Arial" w:hAnsi="Arial" w:cs="Arial"/>
          <w:bCs/>
          <w:sz w:val="24"/>
        </w:rPr>
        <w:lastRenderedPageBreak/>
        <w:t>mimo jiné i počty a účetní hodnoty majetku. Nicméně tato sumarizační evidence není bezchybná a stoprocentně hodnověrná. Je nutno vzájemnou spoluprací všech zúčastněných subjektů a postupným dohledáváním a odstraňováním chyb z minulosti, pokusit se o maximální očištění od nesprávných zápisů.</w:t>
      </w:r>
    </w:p>
    <w:p w:rsidR="00DA2507" w:rsidRPr="00F22999" w:rsidRDefault="00DA2507" w:rsidP="00DA2507">
      <w:pPr>
        <w:spacing w:before="60" w:after="60" w:line="360" w:lineRule="auto"/>
        <w:ind w:firstLine="709"/>
        <w:jc w:val="both"/>
        <w:rPr>
          <w:rFonts w:ascii="Arial" w:hAnsi="Arial" w:cs="Arial"/>
          <w:bCs/>
          <w:sz w:val="24"/>
        </w:rPr>
      </w:pPr>
      <w:r w:rsidRPr="00F22999">
        <w:rPr>
          <w:rFonts w:ascii="Arial" w:hAnsi="Arial" w:cs="Arial"/>
          <w:bCs/>
          <w:sz w:val="24"/>
        </w:rPr>
        <w:t>Jedním z možných řešení by bylo zavedení jednoho informačního systému majetku státu, obsahující propojení s účetní a operativní evidencí majetku státu, s účetnictvím a s jednotlivými spisy, právními jednáními apod. do všech organizačních složek a státních organizací příslušných k hospodaření se státním majetkem. Způsob</w:t>
      </w:r>
      <w:r>
        <w:rPr>
          <w:rFonts w:ascii="Arial" w:hAnsi="Arial" w:cs="Arial"/>
          <w:bCs/>
          <w:sz w:val="24"/>
        </w:rPr>
        <w:t xml:space="preserve"> </w:t>
      </w:r>
      <w:r w:rsidRPr="00F22999">
        <w:rPr>
          <w:rFonts w:ascii="Arial" w:hAnsi="Arial" w:cs="Arial"/>
          <w:bCs/>
          <w:sz w:val="24"/>
        </w:rPr>
        <w:t>a rozsah evidence by byl shodný, čímž by při použití jednotných metodických postupů byly zajištěny i shodné výstupy. Takový informační systém již třetím rokem vlastní</w:t>
      </w:r>
      <w:r>
        <w:rPr>
          <w:rFonts w:ascii="Arial" w:hAnsi="Arial" w:cs="Arial"/>
          <w:bCs/>
          <w:sz w:val="24"/>
        </w:rPr>
        <w:t xml:space="preserve"> </w:t>
      </w:r>
      <w:r w:rsidRPr="00F22999">
        <w:rPr>
          <w:rFonts w:ascii="Arial" w:hAnsi="Arial" w:cs="Arial"/>
          <w:bCs/>
          <w:sz w:val="24"/>
        </w:rPr>
        <w:t>a postupně zdokonaluje právě Úřad pro zastupování státu ve věcech majetkových. Jeho zavedením do ostatních institucí a centrálním propojením, které není v době internetových sítí nereálné, by se docílilo jednotného evidenčního systému. Zároveň s tím by se podstatně zjednodušil i problém s odstraňováním evidenčních chyb.</w:t>
      </w:r>
    </w:p>
    <w:p w:rsidR="00F22999" w:rsidRDefault="00F22999" w:rsidP="00F22999">
      <w:pPr>
        <w:pStyle w:val="Nadpis1"/>
        <w:numPr>
          <w:ilvl w:val="0"/>
          <w:numId w:val="5"/>
        </w:numPr>
      </w:pPr>
      <w:bookmarkStart w:id="13" w:name="_Toc242422235"/>
      <w:r>
        <w:t>Použitá literatura</w:t>
      </w:r>
      <w:bookmarkEnd w:id="13"/>
    </w:p>
    <w:p w:rsidR="00F22999" w:rsidRPr="009047A1" w:rsidRDefault="009D0227" w:rsidP="00375A65">
      <w:pPr>
        <w:numPr>
          <w:ilvl w:val="1"/>
          <w:numId w:val="5"/>
        </w:numPr>
        <w:spacing w:line="360" w:lineRule="auto"/>
        <w:rPr>
          <w:rFonts w:ascii="Arial" w:hAnsi="Arial" w:cs="Arial"/>
          <w:sz w:val="24"/>
        </w:rPr>
      </w:pPr>
      <w:r w:rsidRPr="009047A1">
        <w:rPr>
          <w:rFonts w:ascii="Arial" w:hAnsi="Arial" w:cs="Arial"/>
          <w:sz w:val="24"/>
        </w:rPr>
        <w:t>PLINCNEROVÁ, K., ÚŘAD PRO ZASTUPOVÁNÍ STÁTU VE VĚCECH MAJETKOVÝCH - PŘÍSLUŠNOST HOSPODAŘENÍ S MAJETKEM STÁTU</w:t>
      </w:r>
      <w:r w:rsidR="00D61D10" w:rsidRPr="009047A1">
        <w:rPr>
          <w:rFonts w:ascii="Arial" w:hAnsi="Arial" w:cs="Arial"/>
          <w:sz w:val="24"/>
        </w:rPr>
        <w:t xml:space="preserve"> – bakalářská práce</w:t>
      </w:r>
    </w:p>
    <w:p w:rsidR="00B81A30" w:rsidRPr="009047A1" w:rsidRDefault="00B81A30" w:rsidP="00375A65">
      <w:pPr>
        <w:numPr>
          <w:ilvl w:val="1"/>
          <w:numId w:val="5"/>
        </w:numPr>
        <w:spacing w:line="360" w:lineRule="auto"/>
        <w:rPr>
          <w:rFonts w:ascii="Arial" w:hAnsi="Arial" w:cs="Arial"/>
          <w:sz w:val="24"/>
        </w:rPr>
      </w:pPr>
      <w:r w:rsidRPr="009047A1">
        <w:rPr>
          <w:rFonts w:ascii="Arial" w:hAnsi="Arial" w:cs="Arial"/>
          <w:sz w:val="24"/>
        </w:rPr>
        <w:t>IBM, Uživatelská příručka ISMS</w:t>
      </w:r>
    </w:p>
    <w:p w:rsidR="009047A1" w:rsidRPr="009047A1" w:rsidRDefault="009047A1" w:rsidP="00375A65">
      <w:pPr>
        <w:numPr>
          <w:ilvl w:val="1"/>
          <w:numId w:val="5"/>
        </w:numPr>
        <w:spacing w:line="360" w:lineRule="auto"/>
        <w:rPr>
          <w:rFonts w:ascii="Arial" w:hAnsi="Arial" w:cs="Arial"/>
          <w:sz w:val="24"/>
        </w:rPr>
      </w:pPr>
      <w:r w:rsidRPr="009047A1">
        <w:rPr>
          <w:rFonts w:ascii="Arial" w:hAnsi="Arial" w:cs="Arial"/>
          <w:sz w:val="24"/>
        </w:rPr>
        <w:t>PLINCNEROVÁ., K., HORÁČEK., P. Postavení a působnost správců zajištěného majetku podle zák. č. 279/2003 Sb., Tribun EU, Brno, 2008</w:t>
      </w:r>
    </w:p>
    <w:p w:rsidR="00F22999" w:rsidRPr="009047A1" w:rsidRDefault="00F22999" w:rsidP="00F22999">
      <w:pPr>
        <w:spacing w:before="60" w:after="60"/>
        <w:jc w:val="both"/>
        <w:rPr>
          <w:rFonts w:ascii="Arial" w:hAnsi="Arial" w:cs="Arial"/>
          <w:sz w:val="26"/>
          <w:szCs w:val="26"/>
        </w:rPr>
      </w:pPr>
    </w:p>
    <w:p w:rsidR="00F22999" w:rsidRPr="00C46F30" w:rsidRDefault="00F22999" w:rsidP="00A431F2">
      <w:pPr>
        <w:spacing w:before="60" w:after="60"/>
        <w:ind w:firstLine="709"/>
        <w:jc w:val="both"/>
        <w:rPr>
          <w:rFonts w:ascii="Arial" w:hAnsi="Arial" w:cs="Arial"/>
          <w:sz w:val="26"/>
          <w:szCs w:val="26"/>
        </w:rPr>
      </w:pPr>
    </w:p>
    <w:sectPr w:rsidR="00F22999" w:rsidRPr="00C46F30" w:rsidSect="00A17B02">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F14" w:rsidRDefault="00915F14">
      <w:r>
        <w:separator/>
      </w:r>
    </w:p>
  </w:endnote>
  <w:endnote w:type="continuationSeparator" w:id="0">
    <w:p w:rsidR="00915F14" w:rsidRDefault="00915F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30" w:rsidRDefault="00B81A30" w:rsidP="00A17B0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81A30" w:rsidRDefault="00B81A30" w:rsidP="00A17B02">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30" w:rsidRDefault="00B81A30" w:rsidP="00A17B0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E154D">
      <w:rPr>
        <w:rStyle w:val="slostrnky"/>
        <w:noProof/>
      </w:rPr>
      <w:t>2</w:t>
    </w:r>
    <w:r>
      <w:rPr>
        <w:rStyle w:val="slostrnky"/>
      </w:rPr>
      <w:fldChar w:fldCharType="end"/>
    </w:r>
  </w:p>
  <w:p w:rsidR="00B81A30" w:rsidRDefault="00B81A30" w:rsidP="00A17B02">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F14" w:rsidRDefault="00915F14">
      <w:r>
        <w:separator/>
      </w:r>
    </w:p>
  </w:footnote>
  <w:footnote w:type="continuationSeparator" w:id="0">
    <w:p w:rsidR="00915F14" w:rsidRDefault="00915F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D60BD6"/>
    <w:lvl w:ilvl="0">
      <w:numFmt w:val="decimal"/>
      <w:lvlText w:val="*"/>
      <w:lvlJc w:val="left"/>
    </w:lvl>
  </w:abstractNum>
  <w:abstractNum w:abstractNumId="1">
    <w:nsid w:val="119E13B5"/>
    <w:multiLevelType w:val="hybridMultilevel"/>
    <w:tmpl w:val="C7408F78"/>
    <w:lvl w:ilvl="0" w:tplc="DCF8CB9C">
      <w:start w:val="1"/>
      <w:numFmt w:val="bullet"/>
      <w:pStyle w:val="Odr1"/>
      <w:lvlText w:val=""/>
      <w:lvlJc w:val="left"/>
      <w:pPr>
        <w:tabs>
          <w:tab w:val="num" w:pos="284"/>
        </w:tabs>
        <w:ind w:left="284" w:hanging="284"/>
      </w:pPr>
      <w:rPr>
        <w:rFonts w:ascii="Symbol" w:hAnsi="Symbol" w:hint="default"/>
        <w:color w:val="auto"/>
        <w:sz w:val="28"/>
        <w:szCs w:val="28"/>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EBD02AF"/>
    <w:multiLevelType w:val="multilevel"/>
    <w:tmpl w:val="C68ED1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C0B6189"/>
    <w:multiLevelType w:val="multilevel"/>
    <w:tmpl w:val="5EA43A4C"/>
    <w:lvl w:ilvl="0">
      <w:start w:val="1"/>
      <w:numFmt w:val="decimal"/>
      <w:lvlText w:val="%1"/>
      <w:lvlJc w:val="left"/>
      <w:pPr>
        <w:tabs>
          <w:tab w:val="num" w:pos="1719"/>
        </w:tabs>
        <w:ind w:left="1719" w:hanging="432"/>
      </w:pPr>
      <w:rPr>
        <w:rFonts w:hint="default"/>
      </w:rPr>
    </w:lvl>
    <w:lvl w:ilvl="1">
      <w:start w:val="1"/>
      <w:numFmt w:val="decimal"/>
      <w:pStyle w:val="Nadpis2"/>
      <w:lvlText w:val="%2"/>
      <w:lvlJc w:val="left"/>
      <w:pPr>
        <w:tabs>
          <w:tab w:val="num" w:pos="1863"/>
        </w:tabs>
        <w:ind w:left="1863" w:hanging="576"/>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151"/>
        </w:tabs>
        <w:ind w:left="2151" w:hanging="864"/>
      </w:pPr>
      <w:rPr>
        <w:rFonts w:hint="default"/>
      </w:rPr>
    </w:lvl>
    <w:lvl w:ilvl="4">
      <w:start w:val="1"/>
      <w:numFmt w:val="decimal"/>
      <w:lvlText w:val="%1.%2.%3.%4.%5"/>
      <w:lvlJc w:val="left"/>
      <w:pPr>
        <w:tabs>
          <w:tab w:val="num" w:pos="2295"/>
        </w:tabs>
        <w:ind w:left="2295" w:hanging="1008"/>
      </w:pPr>
      <w:rPr>
        <w:rFonts w:hint="default"/>
      </w:rPr>
    </w:lvl>
    <w:lvl w:ilvl="5">
      <w:start w:val="1"/>
      <w:numFmt w:val="decimal"/>
      <w:lvlText w:val="%1.%2.%3.%4.%5.%6"/>
      <w:lvlJc w:val="left"/>
      <w:pPr>
        <w:tabs>
          <w:tab w:val="num" w:pos="2439"/>
        </w:tabs>
        <w:ind w:left="2439" w:hanging="1152"/>
      </w:pPr>
      <w:rPr>
        <w:rFonts w:hint="default"/>
      </w:rPr>
    </w:lvl>
    <w:lvl w:ilvl="6">
      <w:start w:val="1"/>
      <w:numFmt w:val="decimal"/>
      <w:lvlText w:val="%1.%2.%3.%4.%5.%6.%7"/>
      <w:lvlJc w:val="left"/>
      <w:pPr>
        <w:tabs>
          <w:tab w:val="num" w:pos="2583"/>
        </w:tabs>
        <w:ind w:left="2583" w:hanging="1296"/>
      </w:pPr>
      <w:rPr>
        <w:rFonts w:hint="default"/>
      </w:rPr>
    </w:lvl>
    <w:lvl w:ilvl="7">
      <w:start w:val="1"/>
      <w:numFmt w:val="decimal"/>
      <w:lvlText w:val="%1.%2.%3.%4.%5.%6.%7.%8"/>
      <w:lvlJc w:val="left"/>
      <w:pPr>
        <w:tabs>
          <w:tab w:val="num" w:pos="2727"/>
        </w:tabs>
        <w:ind w:left="2727" w:hanging="1440"/>
      </w:pPr>
      <w:rPr>
        <w:rFonts w:hint="default"/>
      </w:rPr>
    </w:lvl>
    <w:lvl w:ilvl="8">
      <w:start w:val="1"/>
      <w:numFmt w:val="decimal"/>
      <w:lvlText w:val="%1.%2.%3.%4.%5.%6.%7.%8.%9"/>
      <w:lvlJc w:val="left"/>
      <w:pPr>
        <w:tabs>
          <w:tab w:val="num" w:pos="2871"/>
        </w:tabs>
        <w:ind w:left="2871" w:hanging="1584"/>
      </w:pPr>
      <w:rPr>
        <w:rFonts w:hint="default"/>
      </w:rPr>
    </w:lvl>
  </w:abstractNum>
  <w:abstractNum w:abstractNumId="4">
    <w:nsid w:val="31DA2D7E"/>
    <w:multiLevelType w:val="hybridMultilevel"/>
    <w:tmpl w:val="E792934C"/>
    <w:lvl w:ilvl="0" w:tplc="E2FC809C">
      <w:start w:val="1"/>
      <w:numFmt w:val="bullet"/>
      <w:lvlText w:val=""/>
      <w:lvlJc w:val="left"/>
      <w:pPr>
        <w:tabs>
          <w:tab w:val="num" w:pos="720"/>
        </w:tabs>
        <w:ind w:left="720" w:hanging="360"/>
      </w:pPr>
      <w:rPr>
        <w:rFonts w:ascii="Wingdings" w:hAnsi="Wingdings" w:hint="default"/>
      </w:rPr>
    </w:lvl>
    <w:lvl w:ilvl="1" w:tplc="E2FC809C">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A083BC3"/>
    <w:multiLevelType w:val="hybridMultilevel"/>
    <w:tmpl w:val="39862F5C"/>
    <w:lvl w:ilvl="0" w:tplc="885A8642">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2104F60"/>
    <w:multiLevelType w:val="hybridMultilevel"/>
    <w:tmpl w:val="C68ED150"/>
    <w:lvl w:ilvl="0" w:tplc="0405000F">
      <w:start w:val="1"/>
      <w:numFmt w:val="decimal"/>
      <w:lvlText w:val="%1."/>
      <w:lvlJc w:val="left"/>
      <w:pPr>
        <w:tabs>
          <w:tab w:val="num" w:pos="720"/>
        </w:tabs>
        <w:ind w:left="720" w:hanging="360"/>
      </w:pPr>
    </w:lvl>
    <w:lvl w:ilvl="1" w:tplc="E2FC809C">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5"/>
  </w:num>
  <w:num w:numId="4">
    <w:abstractNumId w:val="0"/>
    <w:lvlOverride w:ilvl="0">
      <w:lvl w:ilvl="0">
        <w:numFmt w:val="bullet"/>
        <w:lvlText w:val="•"/>
        <w:legacy w:legacy="1" w:legacySpace="0" w:legacyIndent="0"/>
        <w:lvlJc w:val="left"/>
        <w:rPr>
          <w:rFonts w:ascii="Times New Roman" w:hAnsi="Times New Roman" w:cs="Times New Roman" w:hint="default"/>
          <w:sz w:val="20"/>
        </w:rPr>
      </w:lvl>
    </w:lvlOverride>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80E16"/>
    <w:rsid w:val="00003BDD"/>
    <w:rsid w:val="00052218"/>
    <w:rsid w:val="00080E16"/>
    <w:rsid w:val="000A6E58"/>
    <w:rsid w:val="000B668E"/>
    <w:rsid w:val="000C5F37"/>
    <w:rsid w:val="00101CB8"/>
    <w:rsid w:val="00142AA7"/>
    <w:rsid w:val="00182770"/>
    <w:rsid w:val="0019794D"/>
    <w:rsid w:val="001E2BD9"/>
    <w:rsid w:val="00210831"/>
    <w:rsid w:val="002331EF"/>
    <w:rsid w:val="002367ED"/>
    <w:rsid w:val="00247D1F"/>
    <w:rsid w:val="00264487"/>
    <w:rsid w:val="002706EE"/>
    <w:rsid w:val="002B47CF"/>
    <w:rsid w:val="002D4212"/>
    <w:rsid w:val="00307240"/>
    <w:rsid w:val="003239CD"/>
    <w:rsid w:val="00337333"/>
    <w:rsid w:val="00351DE3"/>
    <w:rsid w:val="00375A65"/>
    <w:rsid w:val="00382D1E"/>
    <w:rsid w:val="00387332"/>
    <w:rsid w:val="003C6A54"/>
    <w:rsid w:val="003D40C8"/>
    <w:rsid w:val="004056AE"/>
    <w:rsid w:val="00533BDD"/>
    <w:rsid w:val="00636A7E"/>
    <w:rsid w:val="00685180"/>
    <w:rsid w:val="006939F9"/>
    <w:rsid w:val="006C36E9"/>
    <w:rsid w:val="006C7B79"/>
    <w:rsid w:val="006D6394"/>
    <w:rsid w:val="006D7755"/>
    <w:rsid w:val="0071666E"/>
    <w:rsid w:val="00724D2F"/>
    <w:rsid w:val="00727EEE"/>
    <w:rsid w:val="00734048"/>
    <w:rsid w:val="00756CF8"/>
    <w:rsid w:val="00766690"/>
    <w:rsid w:val="007B7091"/>
    <w:rsid w:val="00817B7C"/>
    <w:rsid w:val="008607A6"/>
    <w:rsid w:val="008B115B"/>
    <w:rsid w:val="008C564A"/>
    <w:rsid w:val="00900D77"/>
    <w:rsid w:val="009047A1"/>
    <w:rsid w:val="00915F14"/>
    <w:rsid w:val="009175D4"/>
    <w:rsid w:val="00990682"/>
    <w:rsid w:val="0099770E"/>
    <w:rsid w:val="009B7075"/>
    <w:rsid w:val="009D0227"/>
    <w:rsid w:val="00A17B02"/>
    <w:rsid w:val="00A431F2"/>
    <w:rsid w:val="00A91296"/>
    <w:rsid w:val="00AC2ADC"/>
    <w:rsid w:val="00B72517"/>
    <w:rsid w:val="00B81A30"/>
    <w:rsid w:val="00BA5BDA"/>
    <w:rsid w:val="00BD13F9"/>
    <w:rsid w:val="00BF0210"/>
    <w:rsid w:val="00C228AE"/>
    <w:rsid w:val="00C405ED"/>
    <w:rsid w:val="00C46F30"/>
    <w:rsid w:val="00C75525"/>
    <w:rsid w:val="00C7649E"/>
    <w:rsid w:val="00CE154D"/>
    <w:rsid w:val="00D10871"/>
    <w:rsid w:val="00D61D10"/>
    <w:rsid w:val="00D9465F"/>
    <w:rsid w:val="00DA2507"/>
    <w:rsid w:val="00DC529C"/>
    <w:rsid w:val="00DF0BEA"/>
    <w:rsid w:val="00EE224C"/>
    <w:rsid w:val="00F03D61"/>
    <w:rsid w:val="00F1199A"/>
    <w:rsid w:val="00F22999"/>
    <w:rsid w:val="00F57B12"/>
    <w:rsid w:val="00F63701"/>
    <w:rsid w:val="00FF20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Cs w:val="24"/>
    </w:rPr>
  </w:style>
  <w:style w:type="paragraph" w:styleId="Nadpis1">
    <w:name w:val="heading 1"/>
    <w:basedOn w:val="Normln"/>
    <w:next w:val="Normln"/>
    <w:qFormat/>
    <w:rsid w:val="009175D4"/>
    <w:pPr>
      <w:keepNext/>
      <w:spacing w:before="240" w:after="240"/>
      <w:outlineLvl w:val="0"/>
    </w:pPr>
    <w:rPr>
      <w:rFonts w:ascii="Arial" w:hAnsi="Arial" w:cs="Arial"/>
      <w:b/>
      <w:bCs/>
      <w:kern w:val="32"/>
      <w:sz w:val="32"/>
      <w:szCs w:val="32"/>
    </w:rPr>
  </w:style>
  <w:style w:type="paragraph" w:styleId="Nadpis2">
    <w:name w:val="heading 2"/>
    <w:aliases w:val="otazka-materiál"/>
    <w:basedOn w:val="Normln"/>
    <w:next w:val="Normln"/>
    <w:qFormat/>
    <w:rsid w:val="00080E16"/>
    <w:pPr>
      <w:keepNext/>
      <w:numPr>
        <w:ilvl w:val="1"/>
        <w:numId w:val="2"/>
      </w:numPr>
      <w:spacing w:before="240" w:after="60"/>
      <w:outlineLvl w:val="1"/>
    </w:pPr>
    <w:rPr>
      <w:rFonts w:cs="Arial"/>
      <w:b/>
      <w:bCs/>
      <w:iCs/>
      <w:sz w:val="22"/>
      <w:szCs w:val="28"/>
      <w:u w:val="single"/>
    </w:rPr>
  </w:style>
  <w:style w:type="paragraph" w:styleId="Nadpis3">
    <w:name w:val="heading 3"/>
    <w:basedOn w:val="Normln"/>
    <w:next w:val="Normln"/>
    <w:qFormat/>
    <w:rsid w:val="008C564A"/>
    <w:pPr>
      <w:keepNext/>
      <w:spacing w:before="240" w:after="60"/>
      <w:outlineLvl w:val="2"/>
    </w:pPr>
    <w:rPr>
      <w:rFonts w:cs="Arial"/>
      <w:b/>
      <w:bCs/>
      <w:szCs w:val="2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StylNadpis2Tahoma10bPodtrenZarovnatdobloku">
    <w:name w:val="Styl Nadpis 2 + Tahoma 10 b. Podtržení Zarovnat do bloku"/>
    <w:basedOn w:val="Nadpis2"/>
    <w:rsid w:val="008C564A"/>
    <w:pPr>
      <w:jc w:val="both"/>
    </w:pPr>
    <w:rPr>
      <w:rFonts w:cs="Times New Roman"/>
      <w:sz w:val="20"/>
      <w:szCs w:val="20"/>
    </w:rPr>
  </w:style>
  <w:style w:type="paragraph" w:customStyle="1" w:styleId="Odr1">
    <w:name w:val="Odr1"/>
    <w:basedOn w:val="Normln"/>
    <w:autoRedefine/>
    <w:pPr>
      <w:numPr>
        <w:numId w:val="1"/>
      </w:numPr>
      <w:jc w:val="both"/>
    </w:pPr>
  </w:style>
  <w:style w:type="paragraph" w:styleId="Bezmezer">
    <w:name w:val="No Spacing"/>
    <w:link w:val="BezmezerChar"/>
    <w:qFormat/>
    <w:rsid w:val="002367ED"/>
    <w:rPr>
      <w:rFonts w:ascii="Tahoma" w:hAnsi="Tahoma"/>
      <w:sz w:val="22"/>
      <w:szCs w:val="22"/>
      <w:lang w:eastAsia="en-US"/>
    </w:rPr>
  </w:style>
  <w:style w:type="character" w:customStyle="1" w:styleId="BezmezerChar">
    <w:name w:val="Bez mezer Char"/>
    <w:basedOn w:val="Standardnpsmoodstavce"/>
    <w:link w:val="Bezmezer"/>
    <w:rsid w:val="002367ED"/>
    <w:rPr>
      <w:rFonts w:ascii="Tahoma" w:hAnsi="Tahoma"/>
      <w:sz w:val="22"/>
      <w:szCs w:val="22"/>
      <w:lang w:val="cs-CZ" w:eastAsia="en-US" w:bidi="ar-SA"/>
    </w:rPr>
  </w:style>
  <w:style w:type="character" w:styleId="Hypertextovodkaz">
    <w:name w:val="Hyperlink"/>
    <w:basedOn w:val="Standardnpsmoodstavce"/>
    <w:rsid w:val="00BD13F9"/>
    <w:rPr>
      <w:color w:val="0000FF"/>
      <w:u w:val="single"/>
    </w:rPr>
  </w:style>
  <w:style w:type="paragraph" w:styleId="Textpoznpodarou">
    <w:name w:val="footnote text"/>
    <w:basedOn w:val="Normln"/>
    <w:semiHidden/>
    <w:rsid w:val="00F1199A"/>
    <w:rPr>
      <w:szCs w:val="20"/>
    </w:rPr>
  </w:style>
  <w:style w:type="character" w:styleId="Znakapoznpodarou">
    <w:name w:val="footnote reference"/>
    <w:basedOn w:val="Standardnpsmoodstavce"/>
    <w:semiHidden/>
    <w:rsid w:val="00F1199A"/>
    <w:rPr>
      <w:vertAlign w:val="superscript"/>
    </w:rPr>
  </w:style>
  <w:style w:type="paragraph" w:styleId="Nzev">
    <w:name w:val="Title"/>
    <w:basedOn w:val="Normln"/>
    <w:next w:val="Podtitul"/>
    <w:qFormat/>
    <w:rsid w:val="00A17B02"/>
    <w:pPr>
      <w:suppressAutoHyphens/>
      <w:spacing w:line="100" w:lineRule="atLeast"/>
      <w:jc w:val="center"/>
    </w:pPr>
    <w:rPr>
      <w:rFonts w:ascii="Times New Roman" w:hAnsi="Times New Roman"/>
      <w:sz w:val="32"/>
      <w:lang w:eastAsia="ar-SA"/>
    </w:rPr>
  </w:style>
  <w:style w:type="paragraph" w:styleId="Podtitul">
    <w:name w:val="Subtitle"/>
    <w:basedOn w:val="Normln"/>
    <w:qFormat/>
    <w:rsid w:val="00A17B02"/>
    <w:pPr>
      <w:spacing w:after="60"/>
      <w:jc w:val="center"/>
      <w:outlineLvl w:val="1"/>
    </w:pPr>
    <w:rPr>
      <w:rFonts w:ascii="Arial" w:hAnsi="Arial" w:cs="Arial"/>
      <w:sz w:val="24"/>
    </w:rPr>
  </w:style>
  <w:style w:type="paragraph" w:styleId="Zpat">
    <w:name w:val="footer"/>
    <w:basedOn w:val="Normln"/>
    <w:rsid w:val="00A17B02"/>
    <w:pPr>
      <w:tabs>
        <w:tab w:val="center" w:pos="4536"/>
        <w:tab w:val="right" w:pos="9072"/>
      </w:tabs>
    </w:pPr>
  </w:style>
  <w:style w:type="character" w:styleId="slostrnky">
    <w:name w:val="page number"/>
    <w:basedOn w:val="Standardnpsmoodstavce"/>
    <w:rsid w:val="00A17B02"/>
  </w:style>
  <w:style w:type="paragraph" w:styleId="Obsah1">
    <w:name w:val="toc 1"/>
    <w:basedOn w:val="Normln"/>
    <w:next w:val="Normln"/>
    <w:autoRedefine/>
    <w:semiHidden/>
    <w:rsid w:val="00101CB8"/>
  </w:style>
  <w:style w:type="paragraph" w:styleId="Textbubliny">
    <w:name w:val="Balloon Text"/>
    <w:basedOn w:val="Normln"/>
    <w:semiHidden/>
    <w:rsid w:val="004056AE"/>
    <w:rPr>
      <w:rFonts w:cs="Tahoma"/>
      <w:sz w:val="16"/>
      <w:szCs w:val="16"/>
    </w:rPr>
  </w:style>
</w:styles>
</file>

<file path=word/webSettings.xml><?xml version="1.0" encoding="utf-8"?>
<w:webSettings xmlns:r="http://schemas.openxmlformats.org/officeDocument/2006/relationships" xmlns:w="http://schemas.openxmlformats.org/wordprocessingml/2006/main">
  <w:divs>
    <w:div w:id="25101740">
      <w:bodyDiv w:val="1"/>
      <w:marLeft w:val="0"/>
      <w:marRight w:val="0"/>
      <w:marTop w:val="0"/>
      <w:marBottom w:val="0"/>
      <w:divBdr>
        <w:top w:val="none" w:sz="0" w:space="0" w:color="auto"/>
        <w:left w:val="none" w:sz="0" w:space="0" w:color="auto"/>
        <w:bottom w:val="none" w:sz="0" w:space="0" w:color="auto"/>
        <w:right w:val="none" w:sz="0" w:space="0" w:color="auto"/>
      </w:divBdr>
    </w:div>
    <w:div w:id="236742990">
      <w:bodyDiv w:val="1"/>
      <w:marLeft w:val="0"/>
      <w:marRight w:val="0"/>
      <w:marTop w:val="0"/>
      <w:marBottom w:val="0"/>
      <w:divBdr>
        <w:top w:val="none" w:sz="0" w:space="0" w:color="auto"/>
        <w:left w:val="none" w:sz="0" w:space="0" w:color="auto"/>
        <w:bottom w:val="none" w:sz="0" w:space="0" w:color="auto"/>
        <w:right w:val="none" w:sz="0" w:space="0" w:color="auto"/>
      </w:divBdr>
      <w:divsChild>
        <w:div w:id="1661691335">
          <w:marLeft w:val="0"/>
          <w:marRight w:val="0"/>
          <w:marTop w:val="0"/>
          <w:marBottom w:val="0"/>
          <w:divBdr>
            <w:top w:val="none" w:sz="0" w:space="0" w:color="auto"/>
            <w:left w:val="none" w:sz="0" w:space="0" w:color="auto"/>
            <w:bottom w:val="none" w:sz="0" w:space="0" w:color="auto"/>
            <w:right w:val="none" w:sz="0" w:space="0" w:color="auto"/>
          </w:divBdr>
          <w:divsChild>
            <w:div w:id="1963075466">
              <w:marLeft w:val="0"/>
              <w:marRight w:val="0"/>
              <w:marTop w:val="0"/>
              <w:marBottom w:val="0"/>
              <w:divBdr>
                <w:top w:val="none" w:sz="0" w:space="0" w:color="auto"/>
                <w:left w:val="none" w:sz="0" w:space="0" w:color="auto"/>
                <w:bottom w:val="none" w:sz="0" w:space="0" w:color="auto"/>
                <w:right w:val="none" w:sz="0" w:space="0" w:color="auto"/>
              </w:divBdr>
            </w:div>
          </w:divsChild>
        </w:div>
        <w:div w:id="1990552927">
          <w:marLeft w:val="0"/>
          <w:marRight w:val="0"/>
          <w:marTop w:val="0"/>
          <w:marBottom w:val="0"/>
          <w:divBdr>
            <w:top w:val="none" w:sz="0" w:space="0" w:color="auto"/>
            <w:left w:val="none" w:sz="0" w:space="0" w:color="auto"/>
            <w:bottom w:val="none" w:sz="0" w:space="0" w:color="auto"/>
            <w:right w:val="none" w:sz="0" w:space="0" w:color="auto"/>
          </w:divBdr>
          <w:divsChild>
            <w:div w:id="1868827825">
              <w:marLeft w:val="0"/>
              <w:marRight w:val="0"/>
              <w:marTop w:val="0"/>
              <w:marBottom w:val="0"/>
              <w:divBdr>
                <w:top w:val="none" w:sz="0" w:space="0" w:color="auto"/>
                <w:left w:val="none" w:sz="0" w:space="0" w:color="auto"/>
                <w:bottom w:val="none" w:sz="0" w:space="0" w:color="auto"/>
                <w:right w:val="none" w:sz="0" w:space="0" w:color="auto"/>
              </w:divBdr>
              <w:divsChild>
                <w:div w:id="487139731">
                  <w:marLeft w:val="0"/>
                  <w:marRight w:val="0"/>
                  <w:marTop w:val="0"/>
                  <w:marBottom w:val="0"/>
                  <w:divBdr>
                    <w:top w:val="none" w:sz="0" w:space="0" w:color="auto"/>
                    <w:left w:val="none" w:sz="0" w:space="0" w:color="auto"/>
                    <w:bottom w:val="none" w:sz="0" w:space="0" w:color="auto"/>
                    <w:right w:val="none" w:sz="0" w:space="0" w:color="auto"/>
                  </w:divBdr>
                </w:div>
                <w:div w:id="725690594">
                  <w:marLeft w:val="0"/>
                  <w:marRight w:val="0"/>
                  <w:marTop w:val="0"/>
                  <w:marBottom w:val="0"/>
                  <w:divBdr>
                    <w:top w:val="none" w:sz="0" w:space="0" w:color="auto"/>
                    <w:left w:val="none" w:sz="0" w:space="0" w:color="auto"/>
                    <w:bottom w:val="none" w:sz="0" w:space="0" w:color="auto"/>
                    <w:right w:val="none" w:sz="0" w:space="0" w:color="auto"/>
                  </w:divBdr>
                  <w:divsChild>
                    <w:div w:id="974219696">
                      <w:marLeft w:val="0"/>
                      <w:marRight w:val="0"/>
                      <w:marTop w:val="0"/>
                      <w:marBottom w:val="0"/>
                      <w:divBdr>
                        <w:top w:val="none" w:sz="0" w:space="0" w:color="auto"/>
                        <w:left w:val="none" w:sz="0" w:space="0" w:color="auto"/>
                        <w:bottom w:val="none" w:sz="0" w:space="0" w:color="auto"/>
                        <w:right w:val="none" w:sz="0" w:space="0" w:color="auto"/>
                      </w:divBdr>
                    </w:div>
                  </w:divsChild>
                </w:div>
                <w:div w:id="19273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incnerova.karin@pacr.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1585</Words>
  <Characters>9353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Informační systém majetku státu</vt:lpstr>
    </vt:vector>
  </TitlesOfParts>
  <Company/>
  <LinksUpToDate>false</LinksUpToDate>
  <CharactersWithSpaces>10917</CharactersWithSpaces>
  <SharedDoc>false</SharedDoc>
  <HLinks>
    <vt:vector size="54" baseType="variant">
      <vt:variant>
        <vt:i4>1441840</vt:i4>
      </vt:variant>
      <vt:variant>
        <vt:i4>47</vt:i4>
      </vt:variant>
      <vt:variant>
        <vt:i4>0</vt:i4>
      </vt:variant>
      <vt:variant>
        <vt:i4>5</vt:i4>
      </vt:variant>
      <vt:variant>
        <vt:lpwstr/>
      </vt:variant>
      <vt:variant>
        <vt:lpwstr>_Toc242422235</vt:lpwstr>
      </vt:variant>
      <vt:variant>
        <vt:i4>1441840</vt:i4>
      </vt:variant>
      <vt:variant>
        <vt:i4>41</vt:i4>
      </vt:variant>
      <vt:variant>
        <vt:i4>0</vt:i4>
      </vt:variant>
      <vt:variant>
        <vt:i4>5</vt:i4>
      </vt:variant>
      <vt:variant>
        <vt:lpwstr/>
      </vt:variant>
      <vt:variant>
        <vt:lpwstr>_Toc242422234</vt:lpwstr>
      </vt:variant>
      <vt:variant>
        <vt:i4>1441840</vt:i4>
      </vt:variant>
      <vt:variant>
        <vt:i4>35</vt:i4>
      </vt:variant>
      <vt:variant>
        <vt:i4>0</vt:i4>
      </vt:variant>
      <vt:variant>
        <vt:i4>5</vt:i4>
      </vt:variant>
      <vt:variant>
        <vt:lpwstr/>
      </vt:variant>
      <vt:variant>
        <vt:lpwstr>_Toc242422233</vt:lpwstr>
      </vt:variant>
      <vt:variant>
        <vt:i4>1441840</vt:i4>
      </vt:variant>
      <vt:variant>
        <vt:i4>29</vt:i4>
      </vt:variant>
      <vt:variant>
        <vt:i4>0</vt:i4>
      </vt:variant>
      <vt:variant>
        <vt:i4>5</vt:i4>
      </vt:variant>
      <vt:variant>
        <vt:lpwstr/>
      </vt:variant>
      <vt:variant>
        <vt:lpwstr>_Toc242422232</vt:lpwstr>
      </vt:variant>
      <vt:variant>
        <vt:i4>1441840</vt:i4>
      </vt:variant>
      <vt:variant>
        <vt:i4>23</vt:i4>
      </vt:variant>
      <vt:variant>
        <vt:i4>0</vt:i4>
      </vt:variant>
      <vt:variant>
        <vt:i4>5</vt:i4>
      </vt:variant>
      <vt:variant>
        <vt:lpwstr/>
      </vt:variant>
      <vt:variant>
        <vt:lpwstr>_Toc242422231</vt:lpwstr>
      </vt:variant>
      <vt:variant>
        <vt:i4>1441840</vt:i4>
      </vt:variant>
      <vt:variant>
        <vt:i4>17</vt:i4>
      </vt:variant>
      <vt:variant>
        <vt:i4>0</vt:i4>
      </vt:variant>
      <vt:variant>
        <vt:i4>5</vt:i4>
      </vt:variant>
      <vt:variant>
        <vt:lpwstr/>
      </vt:variant>
      <vt:variant>
        <vt:lpwstr>_Toc242422230</vt:lpwstr>
      </vt:variant>
      <vt:variant>
        <vt:i4>1507376</vt:i4>
      </vt:variant>
      <vt:variant>
        <vt:i4>11</vt:i4>
      </vt:variant>
      <vt:variant>
        <vt:i4>0</vt:i4>
      </vt:variant>
      <vt:variant>
        <vt:i4>5</vt:i4>
      </vt:variant>
      <vt:variant>
        <vt:lpwstr/>
      </vt:variant>
      <vt:variant>
        <vt:lpwstr>_Toc242422229</vt:lpwstr>
      </vt:variant>
      <vt:variant>
        <vt:i4>1507376</vt:i4>
      </vt:variant>
      <vt:variant>
        <vt:i4>5</vt:i4>
      </vt:variant>
      <vt:variant>
        <vt:i4>0</vt:i4>
      </vt:variant>
      <vt:variant>
        <vt:i4>5</vt:i4>
      </vt:variant>
      <vt:variant>
        <vt:lpwstr/>
      </vt:variant>
      <vt:variant>
        <vt:lpwstr>_Toc242422228</vt:lpwstr>
      </vt:variant>
      <vt:variant>
        <vt:i4>4980786</vt:i4>
      </vt:variant>
      <vt:variant>
        <vt:i4>0</vt:i4>
      </vt:variant>
      <vt:variant>
        <vt:i4>0</vt:i4>
      </vt:variant>
      <vt:variant>
        <vt:i4>5</vt:i4>
      </vt:variant>
      <vt:variant>
        <vt:lpwstr>mailto:plincnerova.karin@pacr.eu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Informační systém majetku státu</dc:title>
  <dc:subject>Účelové databáze</dc:subject>
  <dc:creator>Karin Plincnerová</dc:creator>
  <cp:keywords/>
  <dc:description/>
  <cp:lastModifiedBy>Karin Plincnerová</cp:lastModifiedBy>
  <cp:revision>2</cp:revision>
  <cp:lastPrinted>2009-11-03T06:38:00Z</cp:lastPrinted>
  <dcterms:created xsi:type="dcterms:W3CDTF">2012-02-10T06:51:00Z</dcterms:created>
  <dcterms:modified xsi:type="dcterms:W3CDTF">2012-02-10T06:51:00Z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dokončení">
    <vt:filetime>2009-10-04T22:00:00Z</vt:filetime>
  </property>
  <property fmtid="{D5CDD505-2E9C-101B-9397-08002B2CF9AE}" pid="3" name="Účel">
    <vt:lpwstr>seminární práce</vt:lpwstr>
  </property>
</Properties>
</file>