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5" w:rsidRPr="002223EF" w:rsidRDefault="00674B45" w:rsidP="00674B45">
      <w:pPr>
        <w:pStyle w:val="Nzev"/>
        <w:spacing w:line="360" w:lineRule="auto"/>
        <w:rPr>
          <w:rFonts w:ascii="Arial" w:hAnsi="Arial" w:cs="Arial"/>
        </w:rPr>
      </w:pPr>
    </w:p>
    <w:p w:rsidR="00674B45" w:rsidRPr="002223EF" w:rsidRDefault="0033103A" w:rsidP="00674B45">
      <w:pPr>
        <w:pStyle w:val="Nzev"/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B45" w:rsidRPr="002223EF" w:rsidRDefault="00674B45" w:rsidP="00674B45">
      <w:pPr>
        <w:rPr>
          <w:rFonts w:ascii="Arial" w:hAnsi="Arial" w:cs="Arial"/>
          <w:b/>
          <w:bCs/>
          <w:sz w:val="28"/>
        </w:rPr>
      </w:pPr>
      <w:bookmarkStart w:id="0" w:name="_Toc160597478"/>
      <w:bookmarkStart w:id="1" w:name="_Toc162088905"/>
      <w:r w:rsidRPr="002223EF">
        <w:rPr>
          <w:rFonts w:ascii="Arial" w:hAnsi="Arial" w:cs="Arial"/>
          <w:b/>
          <w:bCs/>
          <w:sz w:val="28"/>
        </w:rPr>
        <w:t>POLICEJNÍ AKADEMIE ČESKÉ REPUBLIKY</w:t>
      </w:r>
      <w:bookmarkEnd w:id="0"/>
      <w:bookmarkEnd w:id="1"/>
      <w:r w:rsidR="00353E89">
        <w:rPr>
          <w:rFonts w:ascii="Arial" w:hAnsi="Arial" w:cs="Arial"/>
          <w:b/>
          <w:bCs/>
          <w:sz w:val="28"/>
        </w:rPr>
        <w:t xml:space="preserve"> V PRAZE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276F04" w:rsidP="00276F04">
      <w:pPr>
        <w:tabs>
          <w:tab w:val="left" w:pos="43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4B45" w:rsidRPr="002223EF" w:rsidRDefault="002D0EC2" w:rsidP="002223EF">
      <w:pPr>
        <w:jc w:val="center"/>
        <w:rPr>
          <w:rFonts w:ascii="Arial" w:hAnsi="Arial" w:cs="Arial"/>
          <w:sz w:val="32"/>
        </w:rPr>
      </w:pPr>
      <w:bookmarkStart w:id="2" w:name="_Toc160597479"/>
      <w:bookmarkStart w:id="3" w:name="_Toc162088906"/>
      <w:r>
        <w:rPr>
          <w:rFonts w:ascii="Arial" w:hAnsi="Arial" w:cs="Arial"/>
          <w:sz w:val="40"/>
          <w:szCs w:val="40"/>
        </w:rPr>
        <w:t>Maastrichtská kriteria a jejich plnění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>Semestrální práce</w:t>
      </w: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 xml:space="preserve">z předmětu </w:t>
      </w:r>
      <w:bookmarkEnd w:id="2"/>
      <w:bookmarkEnd w:id="3"/>
      <w:r w:rsidR="002D0EC2">
        <w:rPr>
          <w:rFonts w:ascii="Arial" w:hAnsi="Arial" w:cs="Arial"/>
          <w:sz w:val="32"/>
        </w:rPr>
        <w:t>Harmonizace národních ekonomik</w:t>
      </w: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</w:rPr>
      </w:pPr>
      <w:bookmarkStart w:id="4" w:name="_Toc160597480"/>
      <w:bookmarkStart w:id="5" w:name="_Toc162088907"/>
      <w:r w:rsidRPr="002223EF">
        <w:rPr>
          <w:rFonts w:ascii="Arial" w:hAnsi="Arial" w:cs="Arial"/>
        </w:rPr>
        <w:t xml:space="preserve">Vypracovala: 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 xml:space="preserve">Bc. </w:t>
      </w:r>
      <w:smartTag w:uri="urn:schemas-microsoft-com:office:smarttags" w:element="PersonName">
        <w:smartTagPr>
          <w:attr w:name="ProductID" w:val="Karin Plincnerov￡"/>
        </w:smartTagPr>
        <w:r w:rsidRPr="002223EF">
          <w:rPr>
            <w:rFonts w:ascii="Arial" w:hAnsi="Arial" w:cs="Arial"/>
          </w:rPr>
          <w:t>Karin Plincnerová</w:t>
        </w:r>
      </w:smartTag>
      <w:bookmarkEnd w:id="4"/>
      <w:bookmarkEnd w:id="5"/>
    </w:p>
    <w:p w:rsidR="002223EF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Obor:</w:t>
      </w:r>
      <w:r w:rsidRP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2223EF" w:rsidRPr="002223EF">
        <w:rPr>
          <w:rFonts w:ascii="Arial" w:hAnsi="Arial" w:cs="Arial"/>
        </w:rPr>
        <w:t xml:space="preserve">Bezpečnostní management ve veřejné správě 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Forma: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>kombinovaná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Ročník: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6B1558">
        <w:rPr>
          <w:rFonts w:ascii="Arial" w:hAnsi="Arial" w:cs="Arial"/>
        </w:rPr>
        <w:t>I</w:t>
      </w:r>
      <w:r w:rsidRPr="002223EF">
        <w:rPr>
          <w:rFonts w:ascii="Arial" w:hAnsi="Arial" w:cs="Arial"/>
        </w:rPr>
        <w:t>I.</w:t>
      </w:r>
      <w:r w:rsidR="002223EF">
        <w:rPr>
          <w:rFonts w:ascii="Arial" w:hAnsi="Arial" w:cs="Arial"/>
        </w:rPr>
        <w:t xml:space="preserve"> – N71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Datum: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2D0EC2">
        <w:rPr>
          <w:rFonts w:ascii="Arial" w:hAnsi="Arial" w:cs="Arial"/>
        </w:rPr>
        <w:t>28</w:t>
      </w:r>
      <w:r w:rsidR="00A04F7F" w:rsidRPr="002223EF">
        <w:rPr>
          <w:rFonts w:ascii="Arial" w:hAnsi="Arial" w:cs="Arial"/>
        </w:rPr>
        <w:t xml:space="preserve">. </w:t>
      </w:r>
      <w:r w:rsidR="002D0EC2">
        <w:rPr>
          <w:rFonts w:ascii="Arial" w:hAnsi="Arial" w:cs="Arial"/>
        </w:rPr>
        <w:t>2. 2011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E-mail: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hyperlink r:id="rId9" w:history="1">
        <w:r w:rsidR="002223EF" w:rsidRPr="002223EF">
          <w:rPr>
            <w:rStyle w:val="Hypertextovodkaz"/>
            <w:rFonts w:ascii="Arial" w:hAnsi="Arial" w:cs="Arial"/>
          </w:rPr>
          <w:t>plincnerova.karin@pacr.eu</w:t>
        </w:r>
      </w:hyperlink>
    </w:p>
    <w:p w:rsidR="000814BB" w:rsidRPr="000814BB" w:rsidRDefault="00674B45" w:rsidP="000814BB">
      <w:pPr>
        <w:pStyle w:val="Nadpis2"/>
        <w:spacing w:line="360" w:lineRule="auto"/>
        <w:rPr>
          <w:rFonts w:ascii="Arial" w:hAnsi="Arial" w:cs="Arial"/>
          <w:noProof/>
          <w:sz w:val="26"/>
          <w:szCs w:val="26"/>
        </w:rPr>
      </w:pPr>
      <w:r w:rsidRPr="002223EF">
        <w:rPr>
          <w:rFonts w:ascii="Arial" w:hAnsi="Arial" w:cs="Arial"/>
          <w:sz w:val="24"/>
          <w:szCs w:val="24"/>
        </w:rPr>
        <w:br w:type="page"/>
      </w:r>
      <w:r w:rsidR="005D687F">
        <w:rPr>
          <w:rFonts w:ascii="Arial" w:hAnsi="Arial" w:cs="Arial"/>
          <w:sz w:val="26"/>
          <w:szCs w:val="26"/>
        </w:rPr>
        <w:lastRenderedPageBreak/>
        <w:t xml:space="preserve"> </w:t>
      </w:r>
      <w:r w:rsidR="000814BB">
        <w:rPr>
          <w:rFonts w:ascii="Arial" w:hAnsi="Arial" w:cs="Arial"/>
          <w:sz w:val="26"/>
          <w:szCs w:val="26"/>
        </w:rPr>
        <w:t>Obsah:</w:t>
      </w:r>
      <w:r w:rsidR="006C24BD" w:rsidRPr="000814BB">
        <w:rPr>
          <w:rFonts w:ascii="Arial" w:hAnsi="Arial" w:cs="Arial"/>
          <w:sz w:val="26"/>
          <w:szCs w:val="26"/>
        </w:rPr>
        <w:fldChar w:fldCharType="begin"/>
      </w:r>
      <w:r w:rsidR="00F24E36" w:rsidRPr="000814BB">
        <w:rPr>
          <w:rFonts w:ascii="Arial" w:hAnsi="Arial" w:cs="Arial"/>
          <w:sz w:val="26"/>
          <w:szCs w:val="26"/>
        </w:rPr>
        <w:instrText xml:space="preserve"> TOC \o "1-3" \h \z \u </w:instrText>
      </w:r>
      <w:r w:rsidR="006C24BD" w:rsidRPr="000814BB">
        <w:rPr>
          <w:rFonts w:ascii="Arial" w:hAnsi="Arial" w:cs="Arial"/>
          <w:sz w:val="26"/>
          <w:szCs w:val="26"/>
        </w:rPr>
        <w:fldChar w:fldCharType="separate"/>
      </w:r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35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1.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Úvod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_Toc285957935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3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36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2.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Maastrichtská kritéria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_Toc285957936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4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37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3.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Pakt stability a růstu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_Toc285957937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6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38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4.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Plnění vybraných kritérií členskými zeměmi EU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_Toc285957938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7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39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5.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Vyhodnocení plnění maastrichtských konvergenčních kritérií a stupně ekonomické sladěnosti ČR s eurozónou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_Toc285957939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8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40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6.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Závěr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_Toc285957940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9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0814BB" w:rsidRPr="000814BB" w:rsidRDefault="006C24BD" w:rsidP="000814BB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Arial" w:eastAsiaTheme="minorEastAsia" w:hAnsi="Arial" w:cs="Arial"/>
          <w:noProof/>
          <w:sz w:val="26"/>
          <w:szCs w:val="26"/>
        </w:rPr>
      </w:pPr>
      <w:hyperlink w:anchor="_Toc285957941" w:history="1"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7.</w:t>
        </w:r>
        <w:r w:rsidR="000814BB" w:rsidRPr="000814BB">
          <w:rPr>
            <w:rFonts w:ascii="Arial" w:eastAsiaTheme="minorEastAsia" w:hAnsi="Arial" w:cs="Arial"/>
            <w:noProof/>
            <w:sz w:val="26"/>
            <w:szCs w:val="26"/>
          </w:rPr>
          <w:tab/>
        </w:r>
        <w:r w:rsidR="000814BB" w:rsidRPr="000814BB">
          <w:rPr>
            <w:rStyle w:val="Hypertextovodkaz"/>
            <w:rFonts w:ascii="Arial" w:hAnsi="Arial" w:cs="Arial"/>
            <w:noProof/>
            <w:sz w:val="26"/>
            <w:szCs w:val="26"/>
          </w:rPr>
          <w:t>Použitá literatura</w:t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="000814BB" w:rsidRPr="000814BB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_Toc285957941 \h </w:instrTex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677E95">
          <w:rPr>
            <w:rFonts w:ascii="Arial" w:hAnsi="Arial" w:cs="Arial"/>
            <w:noProof/>
            <w:webHidden/>
            <w:sz w:val="26"/>
            <w:szCs w:val="26"/>
          </w:rPr>
          <w:t>10</w:t>
        </w:r>
        <w:r w:rsidRPr="000814BB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777C25" w:rsidRDefault="006C24BD" w:rsidP="000814BB">
      <w:pPr>
        <w:pStyle w:val="Nadpis2"/>
        <w:spacing w:line="360" w:lineRule="auto"/>
        <w:rPr>
          <w:rFonts w:ascii="Arial" w:hAnsi="Arial" w:cs="Arial"/>
          <w:sz w:val="26"/>
          <w:szCs w:val="26"/>
        </w:rPr>
      </w:pPr>
      <w:r w:rsidRPr="000814BB">
        <w:rPr>
          <w:rFonts w:ascii="Arial" w:hAnsi="Arial" w:cs="Arial"/>
          <w:sz w:val="26"/>
          <w:szCs w:val="26"/>
        </w:rPr>
        <w:fldChar w:fldCharType="end"/>
      </w: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1B195B" w:rsidRDefault="001B195B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0B6287" w:rsidRDefault="000B6287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r>
        <w:br w:type="page"/>
      </w:r>
      <w:bookmarkStart w:id="6" w:name="_Toc285957935"/>
      <w:r w:rsidRPr="00732850">
        <w:rPr>
          <w:rFonts w:ascii="Arial" w:hAnsi="Arial"/>
          <w:sz w:val="28"/>
          <w:u w:val="none"/>
        </w:rPr>
        <w:lastRenderedPageBreak/>
        <w:t>Úvod</w:t>
      </w:r>
      <w:bookmarkEnd w:id="6"/>
    </w:p>
    <w:p w:rsidR="00FF68A1" w:rsidRDefault="00FF68A1" w:rsidP="00FF68A1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F68A1">
        <w:rPr>
          <w:rFonts w:ascii="Arial" w:hAnsi="Arial" w:cs="Arial"/>
          <w:sz w:val="26"/>
          <w:szCs w:val="26"/>
        </w:rPr>
        <w:t>Poválečná Evropa zpočátku neměla vysoké ambice. Po ničivé válce až do roku 1949 probíhalo vyrovnání plateb ze vzájemného obchodu především v</w:t>
      </w:r>
      <w:r w:rsidR="000814BB">
        <w:rPr>
          <w:rFonts w:ascii="Arial" w:hAnsi="Arial" w:cs="Arial"/>
          <w:sz w:val="26"/>
          <w:szCs w:val="26"/>
        </w:rPr>
        <w:t> </w:t>
      </w:r>
      <w:r w:rsidRPr="00FF68A1">
        <w:rPr>
          <w:rFonts w:ascii="Arial" w:hAnsi="Arial" w:cs="Arial"/>
          <w:sz w:val="26"/>
          <w:szCs w:val="26"/>
        </w:rPr>
        <w:t>amerických dolarech a švýcarských francích. Integračním cílem bylo vytvoření společného trhu</w:t>
      </w:r>
      <w:r>
        <w:rPr>
          <w:rFonts w:ascii="Arial" w:hAnsi="Arial" w:cs="Arial"/>
          <w:sz w:val="26"/>
          <w:szCs w:val="26"/>
        </w:rPr>
        <w:t>. C</w:t>
      </w:r>
      <w:r w:rsidRPr="00FF68A1">
        <w:rPr>
          <w:rFonts w:ascii="Arial" w:hAnsi="Arial" w:cs="Arial"/>
          <w:sz w:val="26"/>
          <w:szCs w:val="26"/>
        </w:rPr>
        <w:t>esta vedla přes nižší integrační fáze - pásmo volného obchodu a celní unii. V letech 1950-1958 fungovala na bázi mnohostranného zúčtování plateb souvisejících s obchodem tak zvaná Evropská platební unie. Zanikla při návratu téměř všech evropských měn ke směnitelnosti pro operace na běžném účtu platební bilance</w:t>
      </w:r>
      <w:r>
        <w:rPr>
          <w:rFonts w:ascii="Arial" w:hAnsi="Arial" w:cs="Arial"/>
          <w:sz w:val="26"/>
          <w:szCs w:val="26"/>
        </w:rPr>
        <w:t>. K</w:t>
      </w:r>
      <w:r w:rsidRPr="00FF68A1">
        <w:rPr>
          <w:rFonts w:ascii="Arial" w:hAnsi="Arial" w:cs="Arial"/>
          <w:sz w:val="26"/>
          <w:szCs w:val="26"/>
        </w:rPr>
        <w:t>apitálové toky zůstaly i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>nadále pod kontrolou. Římské smlouvy (1957) k monitorování hospodářského, měnového, devizového a rozpočtového vývoje členských států založily společný orgán ministerstev financí, centrálních bank a EK, tak zvaný Měnový výbor. V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>oblasti koordinace hospodářských politik zároveň označily devizovou politiku za předmět společného zájmu. V roce 1964 byl v</w:t>
      </w:r>
      <w:r w:rsidR="000814BB">
        <w:rPr>
          <w:rFonts w:ascii="Arial" w:hAnsi="Arial" w:cs="Arial"/>
          <w:sz w:val="26"/>
          <w:szCs w:val="26"/>
        </w:rPr>
        <w:t> </w:t>
      </w:r>
      <w:r w:rsidRPr="00FF68A1">
        <w:rPr>
          <w:rFonts w:ascii="Arial" w:hAnsi="Arial" w:cs="Arial"/>
          <w:sz w:val="26"/>
          <w:szCs w:val="26"/>
        </w:rPr>
        <w:t>Basileji při Bance pro mezinárodní platby založen Výbor guvernérů centrálních ba</w:t>
      </w:r>
      <w:r>
        <w:rPr>
          <w:rFonts w:ascii="Arial" w:hAnsi="Arial" w:cs="Arial"/>
          <w:sz w:val="26"/>
          <w:szCs w:val="26"/>
        </w:rPr>
        <w:t>nk a</w:t>
      </w:r>
      <w:r w:rsidRPr="00FF68A1">
        <w:rPr>
          <w:rFonts w:ascii="Arial" w:hAnsi="Arial" w:cs="Arial"/>
          <w:sz w:val="26"/>
          <w:szCs w:val="26"/>
        </w:rPr>
        <w:t xml:space="preserve"> v roce 1968 vstoupila evropská integrace do stadia celní unie. Ambice členských států na základě dosaženého stouply - v roce 1969 byla založena expertní skupina (tak zvaný Wernerův výbor), jejímž úkolem bylo vypracovat zprávu o způsobech dosažení měnové unie. Po pádu zlatého standardu amerického dolaru a kolapsu </w:t>
      </w:r>
      <w:proofErr w:type="spellStart"/>
      <w:r w:rsidRPr="00FF68A1">
        <w:rPr>
          <w:rFonts w:ascii="Arial" w:hAnsi="Arial" w:cs="Arial"/>
          <w:sz w:val="26"/>
          <w:szCs w:val="26"/>
        </w:rPr>
        <w:t>brettonwoodského</w:t>
      </w:r>
      <w:proofErr w:type="spellEnd"/>
      <w:r w:rsidRPr="00FF68A1">
        <w:rPr>
          <w:rFonts w:ascii="Arial" w:hAnsi="Arial" w:cs="Arial"/>
          <w:sz w:val="26"/>
          <w:szCs w:val="26"/>
        </w:rPr>
        <w:t xml:space="preserve"> systému nejprve členské státy v roce 1971 dohodly nové fluktuační pásmo měnových parit vůči USD na +- 2,25 %, o rok později v Basileji vznikl systém kurzové vazby nazvaný "had v tunelu" (fluktuační pásmo +- 2,25 % mezi měnami členských států ES navzájem, +- 4,5 % vůči USD). V roce 1979 konečně vznikla nová "zóna měnové stability" - evropský měnový systém. Jeho základem se stal kurzový mechanismus (ERM) s výše uvedeným fluktuačním pásmem mezi měnami účastnických států ES. Účast v něm nebyla povinná, účastníci však v</w:t>
      </w:r>
      <w:r w:rsidR="00DC37C8">
        <w:rPr>
          <w:rFonts w:ascii="Arial" w:hAnsi="Arial" w:cs="Arial"/>
          <w:sz w:val="26"/>
          <w:szCs w:val="26"/>
        </w:rPr>
        <w:t> </w:t>
      </w:r>
      <w:r w:rsidRPr="00FF68A1">
        <w:rPr>
          <w:rFonts w:ascii="Arial" w:hAnsi="Arial" w:cs="Arial"/>
          <w:sz w:val="26"/>
          <w:szCs w:val="26"/>
        </w:rPr>
        <w:t>zájmu udržení slabších měn uvnitř pásma byli povinni poskytovat si navzájem takzvané intervenční půjčky. Jako zúčtovací jednotka bylo zavedeno ECU. V roce 1993 bylo po krizi pásmo rozšířeno na +- 15 %, přesto se hovořilo o relativně pevných kurzech. V roce 19</w:t>
      </w:r>
      <w:r>
        <w:rPr>
          <w:rFonts w:ascii="Arial" w:hAnsi="Arial" w:cs="Arial"/>
          <w:sz w:val="26"/>
          <w:szCs w:val="26"/>
        </w:rPr>
        <w:t xml:space="preserve">86 byl jako první velká revize </w:t>
      </w:r>
      <w:r>
        <w:rPr>
          <w:rFonts w:ascii="Arial" w:hAnsi="Arial" w:cs="Arial"/>
          <w:sz w:val="26"/>
          <w:szCs w:val="26"/>
        </w:rPr>
        <w:lastRenderedPageBreak/>
        <w:t>Ř</w:t>
      </w:r>
      <w:r w:rsidRPr="00FF68A1">
        <w:rPr>
          <w:rFonts w:ascii="Arial" w:hAnsi="Arial" w:cs="Arial"/>
          <w:sz w:val="26"/>
          <w:szCs w:val="26"/>
        </w:rPr>
        <w:t xml:space="preserve">ímských smluv přijat Jednotný evropský akt s cílem do roku 1992 završit budování společného trhu. V roce 1988 byl ustaven </w:t>
      </w:r>
      <w:proofErr w:type="spellStart"/>
      <w:r w:rsidRPr="00FF68A1">
        <w:rPr>
          <w:rFonts w:ascii="Arial" w:hAnsi="Arial" w:cs="Arial"/>
          <w:sz w:val="26"/>
          <w:szCs w:val="26"/>
        </w:rPr>
        <w:t>Delorsův</w:t>
      </w:r>
      <w:proofErr w:type="spellEnd"/>
      <w:r w:rsidRPr="00FF68A1">
        <w:rPr>
          <w:rFonts w:ascii="Arial" w:hAnsi="Arial" w:cs="Arial"/>
          <w:sz w:val="26"/>
          <w:szCs w:val="26"/>
        </w:rPr>
        <w:t xml:space="preserve"> výbor s úkolem studovat a navrhnout konkrétní stadia vytvoření Evropské měnové unie. Její principy část</w:t>
      </w:r>
      <w:r>
        <w:rPr>
          <w:rFonts w:ascii="Arial" w:hAnsi="Arial" w:cs="Arial"/>
          <w:sz w:val="26"/>
          <w:szCs w:val="26"/>
        </w:rPr>
        <w:t>ečně převzal z Wernerovy zprávy</w:t>
      </w:r>
      <w:r w:rsidRPr="00FF68A1">
        <w:rPr>
          <w:rFonts w:ascii="Arial" w:hAnsi="Arial" w:cs="Arial"/>
          <w:sz w:val="26"/>
          <w:szCs w:val="26"/>
        </w:rPr>
        <w:t>, došlo však k významné korekci - k vypuštění požadavku centralizovaného rozhodování o hospodářské a</w:t>
      </w:r>
      <w:r w:rsidR="00DC37C8">
        <w:rPr>
          <w:rFonts w:ascii="Arial" w:hAnsi="Arial" w:cs="Arial"/>
          <w:sz w:val="26"/>
          <w:szCs w:val="26"/>
        </w:rPr>
        <w:t> </w:t>
      </w:r>
      <w:r w:rsidRPr="00FF68A1">
        <w:rPr>
          <w:rFonts w:ascii="Arial" w:hAnsi="Arial" w:cs="Arial"/>
          <w:sz w:val="26"/>
          <w:szCs w:val="26"/>
        </w:rPr>
        <w:t>rozpočtové politice a zodpovědnosti jeho</w:t>
      </w:r>
      <w:r>
        <w:rPr>
          <w:rFonts w:ascii="Arial" w:hAnsi="Arial" w:cs="Arial"/>
          <w:sz w:val="26"/>
          <w:szCs w:val="26"/>
        </w:rPr>
        <w:t xml:space="preserve"> nositelů Evropskému parlamentu</w:t>
      </w:r>
      <w:r w:rsidRPr="00FF68A1">
        <w:rPr>
          <w:rFonts w:ascii="Arial" w:hAnsi="Arial" w:cs="Arial"/>
          <w:sz w:val="26"/>
          <w:szCs w:val="26"/>
        </w:rPr>
        <w:t>.</w:t>
      </w:r>
    </w:p>
    <w:p w:rsidR="00FF68A1" w:rsidRDefault="00FF68A1" w:rsidP="00FF68A1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 oblasti měnové unie prosazuje </w:t>
      </w:r>
      <w:r w:rsidRPr="00FF68A1">
        <w:rPr>
          <w:rFonts w:ascii="Arial" w:hAnsi="Arial" w:cs="Arial"/>
          <w:sz w:val="26"/>
          <w:szCs w:val="26"/>
        </w:rPr>
        <w:t>neodvolatelný pevný devizový kurz bez fluktuačního pásma,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>jednotnou měnovou politiku řízenou nezávislou centrální měnovou institucí,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 xml:space="preserve">jako základní cíl této instituce cenovou stabilitu. V </w:t>
      </w:r>
      <w:r>
        <w:rPr>
          <w:rFonts w:ascii="Arial" w:hAnsi="Arial" w:cs="Arial"/>
          <w:sz w:val="26"/>
          <w:szCs w:val="26"/>
        </w:rPr>
        <w:t xml:space="preserve">oblasti hospodářské politiky </w:t>
      </w:r>
      <w:proofErr w:type="gramStart"/>
      <w:r>
        <w:rPr>
          <w:rFonts w:ascii="Arial" w:hAnsi="Arial" w:cs="Arial"/>
          <w:sz w:val="26"/>
          <w:szCs w:val="26"/>
        </w:rPr>
        <w:t>je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 xml:space="preserve">pro více decentralizovaná </w:t>
      </w:r>
      <w:proofErr w:type="gramStart"/>
      <w:r w:rsidRPr="00FF68A1">
        <w:rPr>
          <w:rFonts w:ascii="Arial" w:hAnsi="Arial" w:cs="Arial"/>
          <w:sz w:val="26"/>
          <w:szCs w:val="26"/>
        </w:rPr>
        <w:t>řešení</w:t>
      </w:r>
      <w:proofErr w:type="gramEnd"/>
      <w:r>
        <w:rPr>
          <w:rFonts w:ascii="Arial" w:hAnsi="Arial" w:cs="Arial"/>
          <w:sz w:val="26"/>
          <w:szCs w:val="26"/>
        </w:rPr>
        <w:t xml:space="preserve"> povinné</w:t>
      </w:r>
      <w:r w:rsidRPr="00FF68A1">
        <w:rPr>
          <w:rFonts w:ascii="Arial" w:hAnsi="Arial" w:cs="Arial"/>
          <w:sz w:val="26"/>
          <w:szCs w:val="26"/>
        </w:rPr>
        <w:t xml:space="preserve"> dodržení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>limitů pro národní rozpočtové deficity,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>zrušení financování deficitů veřejného sektoru centrálními bankami,</w:t>
      </w:r>
      <w:r>
        <w:rPr>
          <w:rFonts w:ascii="Arial" w:hAnsi="Arial" w:cs="Arial"/>
          <w:sz w:val="26"/>
          <w:szCs w:val="26"/>
        </w:rPr>
        <w:t xml:space="preserve"> </w:t>
      </w:r>
      <w:r w:rsidRPr="00FF68A1">
        <w:rPr>
          <w:rFonts w:ascii="Arial" w:hAnsi="Arial" w:cs="Arial"/>
          <w:sz w:val="26"/>
          <w:szCs w:val="26"/>
        </w:rPr>
        <w:t>koordinace národních rozpočtových politik na principu subsidiarity.</w:t>
      </w:r>
    </w:p>
    <w:p w:rsidR="001B195B" w:rsidRDefault="00FF68A1" w:rsidP="00FF68A1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F68A1">
        <w:rPr>
          <w:rFonts w:ascii="Arial" w:hAnsi="Arial" w:cs="Arial"/>
          <w:sz w:val="26"/>
          <w:szCs w:val="26"/>
        </w:rPr>
        <w:t>Z těchto principů, přijatých na summitu v Madridu v roce 1989, byla vytvořena známá Maastrichtská kritéria (klíčová novela Římských smluv nabyla účinnosti 1. 11. 1993)</w:t>
      </w:r>
      <w:r w:rsidR="006C30C5">
        <w:rPr>
          <w:rFonts w:ascii="Arial" w:hAnsi="Arial" w:cs="Arial"/>
          <w:sz w:val="26"/>
          <w:szCs w:val="26"/>
        </w:rPr>
        <w:t>. Stejně jako</w:t>
      </w:r>
      <w:r w:rsidRPr="00FF68A1">
        <w:rPr>
          <w:rFonts w:ascii="Arial" w:hAnsi="Arial" w:cs="Arial"/>
          <w:sz w:val="26"/>
          <w:szCs w:val="26"/>
        </w:rPr>
        <w:t xml:space="preserve"> později specifikovaný časový plán postupu k měnové unii respektuje výborem navržené členění do tří etap.</w:t>
      </w:r>
    </w:p>
    <w:p w:rsidR="00470746" w:rsidRPr="00732850" w:rsidRDefault="006C30C5" w:rsidP="00470746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7" w:name="_Toc285957936"/>
      <w:r>
        <w:rPr>
          <w:rFonts w:ascii="Arial" w:hAnsi="Arial"/>
          <w:sz w:val="28"/>
          <w:u w:val="none"/>
        </w:rPr>
        <w:t>Maastrichtská kritéria</w:t>
      </w:r>
      <w:bookmarkEnd w:id="7"/>
    </w:p>
    <w:p w:rsidR="006C30C5" w:rsidRDefault="006C30C5" w:rsidP="006C30C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30C5">
        <w:rPr>
          <w:rFonts w:ascii="Arial" w:hAnsi="Arial" w:cs="Arial"/>
          <w:sz w:val="26"/>
          <w:szCs w:val="26"/>
        </w:rPr>
        <w:t>Maastrichtská neboli konvergenční kritéria nejsou spojována se vstupem země do Evropské unie, ale s pozdější etapou integrace - s přijetím společné měny. Jde o soubor většinou měřitelných podmínek, na jejichž splnění závisí vstup členské země do eurozóny, jejímž klíčovým definičním znakem kromě společné měny je i společná měnová politika uplatňovaná prostřednictvím Evropského systému centrálních bank (ESCB) při ústřední roli</w:t>
      </w:r>
      <w:r>
        <w:rPr>
          <w:rFonts w:ascii="Arial" w:hAnsi="Arial" w:cs="Arial"/>
          <w:sz w:val="26"/>
          <w:szCs w:val="26"/>
        </w:rPr>
        <w:t xml:space="preserve"> Evropské centrální banky (ECB)</w:t>
      </w:r>
      <w:r w:rsidRPr="006C30C5">
        <w:rPr>
          <w:rFonts w:ascii="Arial" w:hAnsi="Arial" w:cs="Arial"/>
          <w:sz w:val="26"/>
          <w:szCs w:val="26"/>
        </w:rPr>
        <w:t>. Základní kritéria jsou dvě v měnové oblasti (úroveň inflace nesmí o více než 1,5 % překročit inflaci měřenou jako průměr tří zemí Evropské unie s</w:t>
      </w:r>
      <w:r>
        <w:rPr>
          <w:rFonts w:ascii="Arial" w:hAnsi="Arial" w:cs="Arial"/>
          <w:sz w:val="26"/>
          <w:szCs w:val="26"/>
        </w:rPr>
        <w:t xml:space="preserve"> </w:t>
      </w:r>
      <w:r w:rsidRPr="006C30C5">
        <w:rPr>
          <w:rFonts w:ascii="Arial" w:hAnsi="Arial" w:cs="Arial"/>
          <w:sz w:val="26"/>
          <w:szCs w:val="26"/>
        </w:rPr>
        <w:t xml:space="preserve">nejnižší inflací, dlouhodobé úrokové sazby nesmějí o více než 2 % překročit sazby ve stejných zemích), dvě v oblasti fiskální (schodek veřejných rozpočtů nesmí v běžném roce přesáhnout 3 % HDP, veřejný dluh nesmí přesáhnout 60 % HDP) a požadavek kurzové stability (nejméně </w:t>
      </w:r>
      <w:r w:rsidRPr="006C30C5">
        <w:rPr>
          <w:rFonts w:ascii="Arial" w:hAnsi="Arial" w:cs="Arial"/>
          <w:sz w:val="26"/>
          <w:szCs w:val="26"/>
        </w:rPr>
        <w:lastRenderedPageBreak/>
        <w:t xml:space="preserve">dvouletá bezproblémová účast </w:t>
      </w:r>
      <w:r>
        <w:rPr>
          <w:rFonts w:ascii="Arial" w:hAnsi="Arial" w:cs="Arial"/>
          <w:sz w:val="26"/>
          <w:szCs w:val="26"/>
        </w:rPr>
        <w:t>v systému směnných kurzů ERM II</w:t>
      </w:r>
      <w:r w:rsidRPr="006C30C5">
        <w:rPr>
          <w:rFonts w:ascii="Arial" w:hAnsi="Arial" w:cs="Arial"/>
          <w:sz w:val="26"/>
          <w:szCs w:val="26"/>
        </w:rPr>
        <w:t xml:space="preserve">, se stanovenou centrální paritou měny na euro, uvnitř fluktuačního pásma +- 15 %). Za dodatečné kritérium je považován striktní požadavek nezávislosti centrální banky a její orientace na cenovou stabilitu. Vzhledem k politické citlivosti posledně jmenovaného požadavku a závazku přijmout později společnou měnu je od kandidátů požadováno jeho splnění už při vstupu. Kandidátské země jsou však před vstupem do Evropské unie povinny splnit jinou sadu podmínek - tak zvaná kodaňská kritéria. </w:t>
      </w:r>
    </w:p>
    <w:p w:rsidR="006C30C5" w:rsidRPr="006C30C5" w:rsidRDefault="006C30C5" w:rsidP="006C30C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30C5">
        <w:rPr>
          <w:rFonts w:ascii="Arial" w:hAnsi="Arial" w:cs="Arial"/>
          <w:sz w:val="26"/>
          <w:szCs w:val="26"/>
        </w:rPr>
        <w:t>Mezi ně patří:</w:t>
      </w:r>
    </w:p>
    <w:p w:rsidR="006C30C5" w:rsidRDefault="006C30C5" w:rsidP="006C30C5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6C30C5">
        <w:rPr>
          <w:rFonts w:ascii="Arial" w:hAnsi="Arial" w:cs="Arial"/>
          <w:sz w:val="26"/>
          <w:szCs w:val="26"/>
        </w:rPr>
        <w:t>dosažení stability institucionálního uspořádání země, které zajistí demokracii, fungování právního řádu, lidských práv a respektování a</w:t>
      </w:r>
      <w:r w:rsidR="00DC37C8">
        <w:rPr>
          <w:rFonts w:ascii="Arial" w:hAnsi="Arial" w:cs="Arial"/>
          <w:sz w:val="26"/>
          <w:szCs w:val="26"/>
        </w:rPr>
        <w:t> </w:t>
      </w:r>
      <w:r w:rsidRPr="006C30C5">
        <w:rPr>
          <w:rFonts w:ascii="Arial" w:hAnsi="Arial" w:cs="Arial"/>
          <w:sz w:val="26"/>
          <w:szCs w:val="26"/>
        </w:rPr>
        <w:t>ochranu menšin;</w:t>
      </w:r>
    </w:p>
    <w:p w:rsidR="006C30C5" w:rsidRDefault="006C30C5" w:rsidP="006C30C5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6C30C5">
        <w:rPr>
          <w:rFonts w:ascii="Arial" w:hAnsi="Arial" w:cs="Arial"/>
          <w:sz w:val="26"/>
          <w:szCs w:val="26"/>
        </w:rPr>
        <w:t>existence fungující tržní ekonomiky, včetně schopnosti odolávat konkurenčním tlakům a tržním silám v rámci Evropské unie, což mimo jiné vyžaduje dostatečný stupeň makroekonomické stability, včetně odpovídající stability cen, kdy hospodářské subjekty budou moci přijímat rozhodnutí v atmosféře stability a předvídatelnosti, a dostatečně rozvinutý finanční sektor, který je schopen směrovat úspory do produktivních investic;</w:t>
      </w:r>
    </w:p>
    <w:p w:rsidR="006C30C5" w:rsidRPr="006C30C5" w:rsidRDefault="006C30C5" w:rsidP="006C30C5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6C30C5">
        <w:rPr>
          <w:rFonts w:ascii="Arial" w:hAnsi="Arial" w:cs="Arial"/>
          <w:sz w:val="26"/>
          <w:szCs w:val="26"/>
        </w:rPr>
        <w:t>schopnost přebírat závazky, plynoucí z členství, včetně přijetí cílů politické, hospodářské a měnové unie.</w:t>
      </w:r>
    </w:p>
    <w:p w:rsidR="002F4CB3" w:rsidRDefault="006C30C5" w:rsidP="006C30C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30C5">
        <w:rPr>
          <w:rFonts w:ascii="Arial" w:hAnsi="Arial" w:cs="Arial"/>
          <w:sz w:val="26"/>
          <w:szCs w:val="26"/>
        </w:rPr>
        <w:t>Tento soubor byl definován v roce 1993 na zasedání Evropské rady v</w:t>
      </w:r>
      <w:r w:rsidR="00DC37C8">
        <w:rPr>
          <w:rFonts w:ascii="Arial" w:hAnsi="Arial" w:cs="Arial"/>
          <w:sz w:val="26"/>
          <w:szCs w:val="26"/>
        </w:rPr>
        <w:t> </w:t>
      </w:r>
      <w:r w:rsidRPr="006C30C5">
        <w:rPr>
          <w:rFonts w:ascii="Arial" w:hAnsi="Arial" w:cs="Arial"/>
          <w:sz w:val="26"/>
          <w:szCs w:val="26"/>
        </w:rPr>
        <w:t>Kodani pro kandidátské země tak zvané východní vlny rozšíření. U</w:t>
      </w:r>
      <w:r w:rsidR="00DC37C8">
        <w:rPr>
          <w:rFonts w:ascii="Arial" w:hAnsi="Arial" w:cs="Arial"/>
          <w:sz w:val="26"/>
          <w:szCs w:val="26"/>
        </w:rPr>
        <w:t> </w:t>
      </w:r>
      <w:r w:rsidRPr="006C30C5">
        <w:rPr>
          <w:rFonts w:ascii="Arial" w:hAnsi="Arial" w:cs="Arial"/>
          <w:sz w:val="26"/>
          <w:szCs w:val="26"/>
        </w:rPr>
        <w:t>předchozích kandidátů bylo splnění řady podmínek, na rozdíl od zemí v</w:t>
      </w:r>
      <w:r w:rsidR="00DC37C8">
        <w:rPr>
          <w:rFonts w:ascii="Arial" w:hAnsi="Arial" w:cs="Arial"/>
          <w:sz w:val="26"/>
          <w:szCs w:val="26"/>
        </w:rPr>
        <w:t> </w:t>
      </w:r>
      <w:r w:rsidRPr="006C30C5">
        <w:rPr>
          <w:rFonts w:ascii="Arial" w:hAnsi="Arial" w:cs="Arial"/>
          <w:sz w:val="26"/>
          <w:szCs w:val="26"/>
        </w:rPr>
        <w:t xml:space="preserve">transformaci, považováno za automatické a důraz byl kladen především na aplikaci komunitárního práva a institucí, tak zvaného </w:t>
      </w:r>
      <w:proofErr w:type="spellStart"/>
      <w:r w:rsidRPr="006C30C5">
        <w:rPr>
          <w:rFonts w:ascii="Arial" w:hAnsi="Arial" w:cs="Arial"/>
          <w:sz w:val="26"/>
          <w:szCs w:val="26"/>
        </w:rPr>
        <w:t>acquis</w:t>
      </w:r>
      <w:proofErr w:type="spellEnd"/>
      <w:r w:rsidRPr="006C30C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30C5">
        <w:rPr>
          <w:rFonts w:ascii="Arial" w:hAnsi="Arial" w:cs="Arial"/>
          <w:sz w:val="26"/>
          <w:szCs w:val="26"/>
        </w:rPr>
        <w:t>communautaire</w:t>
      </w:r>
      <w:proofErr w:type="spellEnd"/>
      <w:r w:rsidRPr="006C30C5">
        <w:rPr>
          <w:rFonts w:ascii="Arial" w:hAnsi="Arial" w:cs="Arial"/>
          <w:sz w:val="26"/>
          <w:szCs w:val="26"/>
        </w:rPr>
        <w:t xml:space="preserve"> . Ta je jednou z klíčových podmínek vstupu i nadále. Z toho je zřejmé, že hospodářské sbližování, které povede ke splnění konvergenčních kritérií a ke vstupu do pásma společné měny (tedy k jejímu přijetí a vzdání </w:t>
      </w:r>
      <w:proofErr w:type="gramStart"/>
      <w:r w:rsidRPr="006C30C5">
        <w:rPr>
          <w:rFonts w:ascii="Arial" w:hAnsi="Arial" w:cs="Arial"/>
          <w:sz w:val="26"/>
          <w:szCs w:val="26"/>
        </w:rPr>
        <w:t>se</w:t>
      </w:r>
      <w:proofErr w:type="gramEnd"/>
      <w:r w:rsidRPr="006C30C5">
        <w:rPr>
          <w:rFonts w:ascii="Arial" w:hAnsi="Arial" w:cs="Arial"/>
          <w:sz w:val="26"/>
          <w:szCs w:val="26"/>
        </w:rPr>
        <w:t xml:space="preserve"> měny národní), je záležitostí dlouhodobou a hospodářská politika by k jeho nutnosti </w:t>
      </w:r>
      <w:r w:rsidRPr="006C30C5">
        <w:rPr>
          <w:rFonts w:ascii="Arial" w:hAnsi="Arial" w:cs="Arial"/>
          <w:sz w:val="26"/>
          <w:szCs w:val="26"/>
        </w:rPr>
        <w:lastRenderedPageBreak/>
        <w:t xml:space="preserve">měla přihlížet už v období před formálním vstupem do integračního seskupení. Při všech problémech, které nutně provázejí vývoj transformujících se ekonomik, by mělo platit, že by bylo dobré alespoň se vyhnout divergenci hospodářského vývoje s cílovým integračním celkem. Na rozdíl od vln rozšíření předcházejících Maastrichtu pro nové kandidáty neexistuje v otázce připojení se k jednotné měně volba - dříve nebo později ji budou muset zavést, pokud chtějí do Evropské unie vstoupit. </w:t>
      </w:r>
    </w:p>
    <w:p w:rsidR="00777C25" w:rsidRPr="00732850" w:rsidRDefault="00CC6DC0" w:rsidP="00E93846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8" w:name="_Toc285957937"/>
      <w:r>
        <w:rPr>
          <w:rFonts w:ascii="Arial" w:hAnsi="Arial"/>
          <w:sz w:val="28"/>
          <w:u w:val="none"/>
        </w:rPr>
        <w:t>Pakt stability a růstu</w:t>
      </w:r>
      <w:bookmarkEnd w:id="8"/>
    </w:p>
    <w:p w:rsidR="00CC6DC0" w:rsidRPr="00CC6DC0" w:rsidRDefault="00CC6DC0" w:rsidP="00CC6DC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C6DC0">
        <w:rPr>
          <w:rFonts w:ascii="Arial" w:hAnsi="Arial" w:cs="Arial"/>
          <w:sz w:val="26"/>
          <w:szCs w:val="26"/>
        </w:rPr>
        <w:t>Pakt stability a růstu bezprostředně souvisí s třetí etapou hospodářské a</w:t>
      </w:r>
      <w:r w:rsidR="00DC37C8">
        <w:rPr>
          <w:rFonts w:ascii="Arial" w:hAnsi="Arial" w:cs="Arial"/>
          <w:sz w:val="26"/>
          <w:szCs w:val="26"/>
        </w:rPr>
        <w:t> </w:t>
      </w:r>
      <w:r w:rsidRPr="00CC6DC0">
        <w:rPr>
          <w:rFonts w:ascii="Arial" w:hAnsi="Arial" w:cs="Arial"/>
          <w:sz w:val="26"/>
          <w:szCs w:val="26"/>
        </w:rPr>
        <w:t>měnové unie, která byla zahájena 1. ledna 1999. Pakt má zajistit, aby členské státy dodržovaly rozpočtovou disciplínu i po zavedení jednotné měny.</w:t>
      </w:r>
    </w:p>
    <w:p w:rsidR="00CC6DC0" w:rsidRPr="00CC6DC0" w:rsidRDefault="00CC6DC0" w:rsidP="00CC6DC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C6DC0">
        <w:rPr>
          <w:rFonts w:ascii="Arial" w:hAnsi="Arial" w:cs="Arial"/>
          <w:sz w:val="26"/>
          <w:szCs w:val="26"/>
        </w:rPr>
        <w:t>V praxi se Pakt skládá z rezoluce Evropské rady přijaté 17. června 1997 v Amsterodamu a dvou nařízení Rady ze 7. července 1997, která stanoví základní technická opatření (jedno o kontrole rozpočtové disciplíny a</w:t>
      </w:r>
      <w:r w:rsidR="00DC37C8">
        <w:rPr>
          <w:rFonts w:ascii="Arial" w:hAnsi="Arial" w:cs="Arial"/>
          <w:sz w:val="26"/>
          <w:szCs w:val="26"/>
        </w:rPr>
        <w:t> </w:t>
      </w:r>
      <w:r w:rsidRPr="00CC6DC0">
        <w:rPr>
          <w:rFonts w:ascii="Arial" w:hAnsi="Arial" w:cs="Arial"/>
          <w:sz w:val="26"/>
          <w:szCs w:val="26"/>
        </w:rPr>
        <w:t>koordinaci hospodářských politik a druhé o zavádění postupu snižování nadměrného schodku).</w:t>
      </w:r>
    </w:p>
    <w:p w:rsidR="00CC6DC0" w:rsidRPr="00CC6DC0" w:rsidRDefault="00CC6DC0" w:rsidP="00CC6DC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C6DC0">
        <w:rPr>
          <w:rFonts w:ascii="Arial" w:hAnsi="Arial" w:cs="Arial"/>
          <w:sz w:val="26"/>
          <w:szCs w:val="26"/>
        </w:rPr>
        <w:t>Ve střednědobé perspektivě se členské státy zavázaly, že dosáhnou vyrovnaného nebo téměř vyrovnaného rozpočtu a že Komisi a Radě do 1.</w:t>
      </w:r>
      <w:r w:rsidR="00DC37C8">
        <w:rPr>
          <w:rFonts w:ascii="Arial" w:hAnsi="Arial" w:cs="Arial"/>
          <w:sz w:val="26"/>
          <w:szCs w:val="26"/>
        </w:rPr>
        <w:t> </w:t>
      </w:r>
      <w:r w:rsidRPr="00CC6DC0">
        <w:rPr>
          <w:rFonts w:ascii="Arial" w:hAnsi="Arial" w:cs="Arial"/>
          <w:sz w:val="26"/>
          <w:szCs w:val="26"/>
        </w:rPr>
        <w:t>března 1999 předloží program stability (který je každoročně aktualizován). Stejně tak státy, které se neúčastní třetí etapy HMU, se musí podrobit konvergenčnímu programu.</w:t>
      </w:r>
    </w:p>
    <w:p w:rsidR="00CC6DC0" w:rsidRDefault="00CC6DC0" w:rsidP="00CC6DC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C6DC0">
        <w:rPr>
          <w:rFonts w:ascii="Arial" w:hAnsi="Arial" w:cs="Arial"/>
          <w:sz w:val="26"/>
          <w:szCs w:val="26"/>
        </w:rPr>
        <w:t>Pakt stability a růstu umožňuje Radě potrestat ty zúčastněné státy, které nejsou schopné přijmout odpovídající opatření pro snížení nadměrného schodku. Zpočátku bude mít trest podobu bezúročného depozitu u institucí Společenství, ale pokud nadměrný schodek nebude odstraněn během dvou let, změní se v pokutu.</w:t>
      </w:r>
    </w:p>
    <w:p w:rsidR="00C02F4F" w:rsidRDefault="00C02F4F">
      <w:pPr>
        <w:rPr>
          <w:rFonts w:ascii="Arial" w:hAnsi="Arial" w:cs="Arial"/>
          <w:b/>
          <w:bCs/>
          <w:sz w:val="28"/>
        </w:rPr>
      </w:pPr>
      <w:r>
        <w:rPr>
          <w:rFonts w:ascii="Arial" w:hAnsi="Arial"/>
          <w:sz w:val="28"/>
        </w:rPr>
        <w:br w:type="page"/>
      </w:r>
    </w:p>
    <w:p w:rsidR="00C02F4F" w:rsidRPr="00732850" w:rsidRDefault="00C02F4F" w:rsidP="00C02F4F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9" w:name="_Toc285957938"/>
      <w:r>
        <w:rPr>
          <w:rFonts w:ascii="Arial" w:hAnsi="Arial"/>
          <w:sz w:val="28"/>
          <w:u w:val="none"/>
        </w:rPr>
        <w:lastRenderedPageBreak/>
        <w:t>Plnění vybraných kritérií členskými zeměmi EU</w:t>
      </w:r>
      <w:bookmarkEnd w:id="9"/>
    </w:p>
    <w:p w:rsidR="001B49AB" w:rsidRDefault="00CC6DC0" w:rsidP="00CC6DC0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CC6DC0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5760720" cy="3941739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41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6DC0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5760720" cy="4545616"/>
            <wp:effectExtent l="19050" t="0" r="0" b="0"/>
            <wp:docPr id="4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14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4679" r="12407" b="3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5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F4F" w:rsidRPr="00F335DE" w:rsidRDefault="00C02F4F" w:rsidP="00C02F4F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0" w:name="_Toc285957939"/>
      <w:r w:rsidRPr="00F335DE">
        <w:rPr>
          <w:rFonts w:ascii="Arial" w:hAnsi="Arial"/>
          <w:sz w:val="28"/>
          <w:u w:val="none"/>
        </w:rPr>
        <w:lastRenderedPageBreak/>
        <w:t>Vyhodnocení plnění maastrichtských konvergenčních kritérií a stupně ekonomické sladěnosti ČR s eurozónou</w:t>
      </w:r>
      <w:bookmarkEnd w:id="10"/>
    </w:p>
    <w:p w:rsidR="00C02F4F" w:rsidRPr="00F335DE" w:rsidRDefault="00C02F4F" w:rsidP="00C02F4F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>Každoročně předkládá M</w:t>
      </w:r>
      <w:r>
        <w:rPr>
          <w:rFonts w:ascii="Arial" w:hAnsi="Arial" w:cs="Arial"/>
          <w:sz w:val="26"/>
          <w:szCs w:val="26"/>
        </w:rPr>
        <w:t>inisterstvo financí</w:t>
      </w:r>
      <w:r w:rsidRPr="00F335DE">
        <w:rPr>
          <w:rFonts w:ascii="Arial" w:hAnsi="Arial" w:cs="Arial"/>
          <w:sz w:val="26"/>
          <w:szCs w:val="26"/>
        </w:rPr>
        <w:t xml:space="preserve"> a Č</w:t>
      </w:r>
      <w:r>
        <w:rPr>
          <w:rFonts w:ascii="Arial" w:hAnsi="Arial" w:cs="Arial"/>
          <w:sz w:val="26"/>
          <w:szCs w:val="26"/>
        </w:rPr>
        <w:t>eská národní banka</w:t>
      </w:r>
      <w:r w:rsidRPr="00F335DE">
        <w:rPr>
          <w:rFonts w:ascii="Arial" w:hAnsi="Arial" w:cs="Arial"/>
          <w:sz w:val="26"/>
          <w:szCs w:val="26"/>
        </w:rPr>
        <w:t xml:space="preserve"> vládě ČR ke schválení společný dokument, který posuzuje připravenost ČR na vstup do kurzového mechanismu ERM II a v souvislosti s tím i připravenost ČR na vstup do eurozóny. Poslední z těchto pravidelných vyhodnocení bylo schváleno vládou v prosinci 201</w:t>
      </w:r>
      <w:r>
        <w:rPr>
          <w:rFonts w:ascii="Arial" w:hAnsi="Arial" w:cs="Arial"/>
          <w:sz w:val="26"/>
          <w:szCs w:val="26"/>
        </w:rPr>
        <w:t>0</w:t>
      </w:r>
      <w:r w:rsidRPr="00F335DE">
        <w:rPr>
          <w:rFonts w:ascii="Arial" w:hAnsi="Arial" w:cs="Arial"/>
          <w:sz w:val="26"/>
          <w:szCs w:val="26"/>
        </w:rPr>
        <w:t>.</w:t>
      </w:r>
    </w:p>
    <w:p w:rsidR="00C02F4F" w:rsidRDefault="00C02F4F" w:rsidP="00C02F4F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 xml:space="preserve">Stejně jako v minulých letech bylo předmětem analýzy plnění čtyř konvergenčních kritérií: </w:t>
      </w:r>
    </w:p>
    <w:p w:rsidR="00C02F4F" w:rsidRDefault="00C02F4F" w:rsidP="00C02F4F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>vysokého stupně cenové stability patrného z vývoje inflace,</w:t>
      </w:r>
    </w:p>
    <w:p w:rsidR="00C02F4F" w:rsidRDefault="00C02F4F" w:rsidP="00C02F4F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>dlouhodobé udržitelnosti veřejných financí hodnocené na základě vývoje vládního deficitu a vládního dluhu,</w:t>
      </w:r>
    </w:p>
    <w:p w:rsidR="00C02F4F" w:rsidRDefault="00C02F4F" w:rsidP="00C02F4F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 xml:space="preserve">stability měnového kurzu hodnocené pohybem kurzu uvnitř normálního fluktuačního rozpětí systému ERM II a </w:t>
      </w:r>
    </w:p>
    <w:p w:rsidR="00C02F4F" w:rsidRPr="00F335DE" w:rsidRDefault="00C02F4F" w:rsidP="00C02F4F">
      <w:pPr>
        <w:pStyle w:val="Odstavecseseznamem"/>
        <w:numPr>
          <w:ilvl w:val="0"/>
          <w:numId w:val="19"/>
        </w:numPr>
        <w:spacing w:before="120" w:after="120" w:line="360" w:lineRule="auto"/>
        <w:ind w:left="709" w:hanging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>stálosti nominální konvergence odrážející se v úrovni dlouhodobých úrokových měr.</w:t>
      </w:r>
    </w:p>
    <w:p w:rsidR="00C02F4F" w:rsidRPr="00F335DE" w:rsidRDefault="00C02F4F" w:rsidP="00C02F4F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>Kritérium cenové stability v současnosti ČR plní, včetně příznivého výhledu na období 2011-2012.  Kritérium udržitelnosti veřejných financí ČR v</w:t>
      </w:r>
      <w:r w:rsidR="00DC37C8">
        <w:rPr>
          <w:rFonts w:ascii="Arial" w:hAnsi="Arial" w:cs="Arial"/>
          <w:sz w:val="26"/>
          <w:szCs w:val="26"/>
        </w:rPr>
        <w:t> </w:t>
      </w:r>
      <w:r w:rsidRPr="00F335DE">
        <w:rPr>
          <w:rFonts w:ascii="Arial" w:hAnsi="Arial" w:cs="Arial"/>
          <w:sz w:val="26"/>
          <w:szCs w:val="26"/>
        </w:rPr>
        <w:t>současnosti neplní, a to v ukazateli vládního deficitu. Nicméně současné záměry fiskální politiky při očekávaném makroekonomickém vývoji by měly vést do roku 2013 včetně k dosažení deficitu sektoru vlády ve výši 2,9 % HDP, tedy pod úrovní maastrichtského kritéria. Vyhodnocení plnění kritéria stability měnového kurzu je možné až poté, co česká měna vstoupí do kurzového mechanismu ERM II a bude stanovena centrální parita koruny k euru. Konečně kritérium dlouhodobých úrokových sazeb ČR v současnosti splňuje a</w:t>
      </w:r>
      <w:r w:rsidR="00DC37C8">
        <w:rPr>
          <w:rFonts w:ascii="Arial" w:hAnsi="Arial" w:cs="Arial"/>
          <w:sz w:val="26"/>
          <w:szCs w:val="26"/>
        </w:rPr>
        <w:t> </w:t>
      </w:r>
      <w:r w:rsidRPr="00F335DE">
        <w:rPr>
          <w:rFonts w:ascii="Arial" w:hAnsi="Arial" w:cs="Arial"/>
          <w:sz w:val="26"/>
          <w:szCs w:val="26"/>
        </w:rPr>
        <w:t>do budoucna se neočekávají významná rizika.</w:t>
      </w:r>
    </w:p>
    <w:p w:rsidR="00C02F4F" w:rsidRPr="00F335DE" w:rsidRDefault="00C02F4F" w:rsidP="00C02F4F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 xml:space="preserve">Vedle problematiky maastrichtských kritérií se hodnocení týká i širších otázek ekonomické sladěnosti ČR s eurozónou. Za oblast vykazující dlouhodobé problémy z hlediska pružnosti ekonomiky a její schopnosti </w:t>
      </w:r>
      <w:r w:rsidRPr="00F335DE">
        <w:rPr>
          <w:rFonts w:ascii="Arial" w:hAnsi="Arial" w:cs="Arial"/>
          <w:sz w:val="26"/>
          <w:szCs w:val="26"/>
        </w:rPr>
        <w:lastRenderedPageBreak/>
        <w:t>přizpůsobit se šokům je považována zejména relativně vysoká strnulost trhu práce.</w:t>
      </w:r>
    </w:p>
    <w:p w:rsidR="00C02F4F" w:rsidRPr="00F335DE" w:rsidRDefault="00C02F4F" w:rsidP="00C02F4F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335DE">
        <w:rPr>
          <w:rFonts w:ascii="Arial" w:hAnsi="Arial" w:cs="Arial"/>
          <w:sz w:val="26"/>
          <w:szCs w:val="26"/>
        </w:rPr>
        <w:t>Dokument dále konstatuje, že přetrvávající nejistota na finančních trzích, vyhrocená obavami investorů o udržitelnost fiskálního vývoje v některých zemích eurozóny, nevytváří příznivé prostředí pro vstup Č</w:t>
      </w:r>
      <w:r w:rsidR="004502D6">
        <w:rPr>
          <w:rFonts w:ascii="Arial" w:hAnsi="Arial" w:cs="Arial"/>
          <w:sz w:val="26"/>
          <w:szCs w:val="26"/>
        </w:rPr>
        <w:t>eské republiky</w:t>
      </w:r>
      <w:r w:rsidRPr="00F335DE">
        <w:rPr>
          <w:rFonts w:ascii="Arial" w:hAnsi="Arial" w:cs="Arial"/>
          <w:sz w:val="26"/>
          <w:szCs w:val="26"/>
        </w:rPr>
        <w:t xml:space="preserve"> do kurzového mechanismu ERM II. Závě</w:t>
      </w:r>
      <w:r w:rsidR="00713DA3">
        <w:rPr>
          <w:rFonts w:ascii="Arial" w:hAnsi="Arial" w:cs="Arial"/>
          <w:sz w:val="26"/>
          <w:szCs w:val="26"/>
        </w:rPr>
        <w:t>rečné ustanovení</w:t>
      </w:r>
      <w:r w:rsidRPr="00F335DE">
        <w:rPr>
          <w:rFonts w:ascii="Arial" w:hAnsi="Arial" w:cs="Arial"/>
          <w:sz w:val="26"/>
          <w:szCs w:val="26"/>
        </w:rPr>
        <w:t xml:space="preserve"> společného materiálu </w:t>
      </w:r>
      <w:r w:rsidR="004502D6">
        <w:rPr>
          <w:rFonts w:ascii="Arial" w:hAnsi="Arial" w:cs="Arial"/>
          <w:sz w:val="26"/>
          <w:szCs w:val="26"/>
        </w:rPr>
        <w:t>Ministerstva financí a České národní banky</w:t>
      </w:r>
      <w:r w:rsidRPr="00F335DE">
        <w:rPr>
          <w:rFonts w:ascii="Arial" w:hAnsi="Arial" w:cs="Arial"/>
          <w:sz w:val="26"/>
          <w:szCs w:val="26"/>
        </w:rPr>
        <w:t xml:space="preserve"> dospívá k závěru, že za dané vnitřní i vnější situace nebylo dosaženo dostatečného pokroku při vytváření podmínek pro přijetí eura, aby mohlo dojít ke stanovení cílového data vstupu do eurozóny.</w:t>
      </w:r>
    </w:p>
    <w:p w:rsidR="009C44FA" w:rsidRPr="00732850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1" w:name="_Toc285957940"/>
      <w:r w:rsidRPr="00732850">
        <w:rPr>
          <w:rFonts w:ascii="Arial" w:hAnsi="Arial"/>
          <w:sz w:val="28"/>
          <w:u w:val="none"/>
        </w:rPr>
        <w:t>Závěr</w:t>
      </w:r>
      <w:bookmarkEnd w:id="11"/>
    </w:p>
    <w:p w:rsidR="00713DA3" w:rsidRDefault="004502D6" w:rsidP="0093038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Zamyšlení nad schopností České republiky splnit Maastrichtská kritéria a přijmout společnou měnu je bezpředmětné. Zavázali jsme se k jejich splnění a pod pohrůžkou vysokých sankcí je prostě splnit musíme. </w:t>
      </w:r>
      <w:r w:rsidR="00713DA3">
        <w:rPr>
          <w:rFonts w:ascii="Arial" w:hAnsi="Arial" w:cs="Arial"/>
          <w:sz w:val="26"/>
          <w:szCs w:val="26"/>
        </w:rPr>
        <w:t>Odpověď na otázku účelnosti, efektivnosti a především životaschopnost i</w:t>
      </w:r>
      <w:r w:rsidR="001F5BCC">
        <w:rPr>
          <w:rFonts w:ascii="Arial" w:hAnsi="Arial" w:cs="Arial"/>
          <w:sz w:val="26"/>
          <w:szCs w:val="26"/>
        </w:rPr>
        <w:t>nstituce jakou je Evropská unie</w:t>
      </w:r>
      <w:r w:rsidR="00713DA3">
        <w:rPr>
          <w:rFonts w:ascii="Arial" w:hAnsi="Arial" w:cs="Arial"/>
          <w:sz w:val="26"/>
          <w:szCs w:val="26"/>
        </w:rPr>
        <w:t xml:space="preserve"> přinese až čas. Pouze z pohledu historického je možné objektivně posoudit situaci, která probíhá v současnosti. </w:t>
      </w:r>
    </w:p>
    <w:p w:rsidR="00930388" w:rsidRDefault="00713DA3" w:rsidP="0093038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Autorka této práce se řadí mezi euroskeptiky a Evropskou unii vnímá jako přebyrokratizovanou, příliš svazující a omezující akci vrcholných politiků, jejichž ambicí bylo a je ekonomicky předběhnout Spojené státy americké a stát se nejsilnější „zemí“</w:t>
      </w:r>
      <w:r w:rsidR="00DC37C8">
        <w:rPr>
          <w:rFonts w:ascii="Arial" w:hAnsi="Arial" w:cs="Arial"/>
          <w:sz w:val="26"/>
          <w:szCs w:val="26"/>
        </w:rPr>
        <w:t xml:space="preserve"> světa.</w:t>
      </w:r>
    </w:p>
    <w:p w:rsidR="00DC37C8" w:rsidRDefault="00DC37C8" w:rsidP="00DC37C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Citát: </w:t>
      </w:r>
      <w:r w:rsidRPr="00DC37C8">
        <w:rPr>
          <w:rFonts w:ascii="Arial" w:hAnsi="Arial" w:cs="Arial"/>
          <w:sz w:val="26"/>
          <w:szCs w:val="26"/>
        </w:rPr>
        <w:t>Euroskeptik je</w:t>
      </w:r>
      <w:r>
        <w:rPr>
          <w:rFonts w:ascii="Arial" w:hAnsi="Arial" w:cs="Arial"/>
          <w:sz w:val="26"/>
          <w:szCs w:val="26"/>
        </w:rPr>
        <w:t xml:space="preserve"> optimista, který ví, že cílem U</w:t>
      </w:r>
      <w:r w:rsidRPr="00DC37C8">
        <w:rPr>
          <w:rFonts w:ascii="Arial" w:hAnsi="Arial" w:cs="Arial"/>
          <w:sz w:val="26"/>
          <w:szCs w:val="26"/>
        </w:rPr>
        <w:t xml:space="preserve">nie není nic jiného než její zánik, tak jak tomu doposud bylo u všech </w:t>
      </w:r>
      <w:r>
        <w:rPr>
          <w:rFonts w:ascii="Arial" w:hAnsi="Arial" w:cs="Arial"/>
          <w:sz w:val="26"/>
          <w:szCs w:val="26"/>
        </w:rPr>
        <w:t xml:space="preserve">velkých </w:t>
      </w:r>
      <w:r w:rsidRPr="00DC37C8">
        <w:rPr>
          <w:rFonts w:ascii="Arial" w:hAnsi="Arial" w:cs="Arial"/>
          <w:sz w:val="26"/>
          <w:szCs w:val="26"/>
        </w:rPr>
        <w:t>říší. Skeptické je na tom to, že ztráty s tím spojené budou bohužel vyšší a mnohem bolestnější než tomu bylo</w:t>
      </w:r>
      <w:r>
        <w:rPr>
          <w:rFonts w:ascii="Arial" w:hAnsi="Arial" w:cs="Arial"/>
          <w:sz w:val="26"/>
          <w:szCs w:val="26"/>
        </w:rPr>
        <w:t xml:space="preserve"> </w:t>
      </w:r>
      <w:r w:rsidRPr="00DC37C8">
        <w:rPr>
          <w:rFonts w:ascii="Arial" w:hAnsi="Arial" w:cs="Arial"/>
          <w:sz w:val="26"/>
          <w:szCs w:val="26"/>
        </w:rPr>
        <w:t>doposud</w:t>
      </w:r>
      <w:r>
        <w:rPr>
          <w:rFonts w:ascii="Arial" w:hAnsi="Arial" w:cs="Arial"/>
          <w:sz w:val="26"/>
          <w:szCs w:val="26"/>
        </w:rPr>
        <w:t>.</w:t>
      </w:r>
    </w:p>
    <w:p w:rsidR="006E0089" w:rsidRPr="00732850" w:rsidRDefault="006E0089" w:rsidP="0093038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C44FA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2" w:name="_Toc285957941"/>
      <w:bookmarkStart w:id="13" w:name="OLE_LINK1"/>
      <w:bookmarkStart w:id="14" w:name="OLE_LINK2"/>
      <w:r>
        <w:rPr>
          <w:rFonts w:ascii="Arial" w:hAnsi="Arial"/>
          <w:sz w:val="28"/>
          <w:u w:val="none"/>
        </w:rPr>
        <w:lastRenderedPageBreak/>
        <w:t>Použitá literatura</w:t>
      </w:r>
      <w:bookmarkEnd w:id="12"/>
    </w:p>
    <w:bookmarkEnd w:id="13"/>
    <w:bookmarkEnd w:id="14"/>
    <w:p w:rsidR="00A607B3" w:rsidRDefault="003849AE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NAHODIL, František. </w:t>
      </w:r>
      <w:r w:rsidRPr="00343EAB">
        <w:rPr>
          <w:rFonts w:ascii="Arial" w:hAnsi="Arial" w:cs="Arial"/>
          <w:i/>
          <w:sz w:val="26"/>
          <w:szCs w:val="26"/>
        </w:rPr>
        <w:t>Veřejné finance v České republice</w:t>
      </w:r>
      <w:r>
        <w:rPr>
          <w:rFonts w:ascii="Arial" w:hAnsi="Arial" w:cs="Arial"/>
          <w:sz w:val="26"/>
          <w:szCs w:val="26"/>
        </w:rPr>
        <w:t>.</w:t>
      </w:r>
      <w:r w:rsidR="00343EAB">
        <w:rPr>
          <w:rFonts w:ascii="Arial" w:hAnsi="Arial" w:cs="Arial"/>
          <w:sz w:val="26"/>
          <w:szCs w:val="26"/>
        </w:rPr>
        <w:t xml:space="preserve"> Plzeň: </w:t>
      </w:r>
      <w:proofErr w:type="spellStart"/>
      <w:r w:rsidR="00343EAB">
        <w:rPr>
          <w:rFonts w:ascii="Arial" w:hAnsi="Arial" w:cs="Arial"/>
          <w:sz w:val="26"/>
          <w:szCs w:val="26"/>
        </w:rPr>
        <w:t>Vydavateství</w:t>
      </w:r>
      <w:proofErr w:type="spellEnd"/>
      <w:r w:rsidR="00343EAB">
        <w:rPr>
          <w:rFonts w:ascii="Arial" w:hAnsi="Arial" w:cs="Arial"/>
          <w:sz w:val="26"/>
          <w:szCs w:val="26"/>
        </w:rPr>
        <w:t xml:space="preserve"> a nakladatelství Aleš Čeněk, 2009. ISBN 978-80-7380-162-5</w:t>
      </w:r>
      <w:r>
        <w:rPr>
          <w:rFonts w:ascii="Arial" w:hAnsi="Arial" w:cs="Arial"/>
          <w:sz w:val="26"/>
          <w:szCs w:val="26"/>
        </w:rPr>
        <w:t xml:space="preserve"> </w:t>
      </w:r>
    </w:p>
    <w:p w:rsidR="00455AC6" w:rsidRDefault="00455AC6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NAHODIL, František. </w:t>
      </w:r>
      <w:r>
        <w:rPr>
          <w:rFonts w:ascii="Arial" w:hAnsi="Arial" w:cs="Arial"/>
          <w:i/>
          <w:sz w:val="26"/>
          <w:szCs w:val="26"/>
        </w:rPr>
        <w:t>Ekonomika veřejného sektoru</w:t>
      </w:r>
      <w:r>
        <w:rPr>
          <w:rFonts w:ascii="Arial" w:hAnsi="Arial" w:cs="Arial"/>
          <w:sz w:val="26"/>
          <w:szCs w:val="26"/>
        </w:rPr>
        <w:t xml:space="preserve">. Praha: </w:t>
      </w:r>
      <w:proofErr w:type="spellStart"/>
      <w:r>
        <w:rPr>
          <w:rFonts w:ascii="Arial" w:hAnsi="Arial" w:cs="Arial"/>
          <w:sz w:val="26"/>
          <w:szCs w:val="26"/>
        </w:rPr>
        <w:t>Eupress</w:t>
      </w:r>
      <w:proofErr w:type="spellEnd"/>
      <w:r>
        <w:rPr>
          <w:rFonts w:ascii="Arial" w:hAnsi="Arial" w:cs="Arial"/>
          <w:sz w:val="26"/>
          <w:szCs w:val="26"/>
        </w:rPr>
        <w:t xml:space="preserve">, 2003. ISBN </w:t>
      </w:r>
      <w:r w:rsidRPr="00455AC6">
        <w:rPr>
          <w:rFonts w:ascii="Arial" w:hAnsi="Arial" w:cs="Arial"/>
          <w:sz w:val="26"/>
          <w:szCs w:val="26"/>
        </w:rPr>
        <w:t>80-86754-05-7.</w:t>
      </w:r>
    </w:p>
    <w:p w:rsidR="00343EAB" w:rsidRDefault="00343EAB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HAMERNÍKOVÁ, B.; MAAYTOVÁ, A.. </w:t>
      </w:r>
      <w:r w:rsidRPr="004A41AE">
        <w:rPr>
          <w:rFonts w:ascii="Arial" w:hAnsi="Arial" w:cs="Arial"/>
          <w:sz w:val="26"/>
          <w:szCs w:val="26"/>
        </w:rPr>
        <w:t>Veřejné finance: prezentace přednášek.</w:t>
      </w:r>
      <w:r>
        <w:rPr>
          <w:rFonts w:ascii="Arial" w:hAnsi="Arial" w:cs="Arial"/>
          <w:sz w:val="26"/>
          <w:szCs w:val="26"/>
        </w:rPr>
        <w:t xml:space="preserve"> Brno: </w:t>
      </w:r>
      <w:proofErr w:type="spellStart"/>
      <w:r>
        <w:rPr>
          <w:rFonts w:ascii="Arial" w:hAnsi="Arial" w:cs="Arial"/>
          <w:sz w:val="26"/>
          <w:szCs w:val="26"/>
        </w:rPr>
        <w:t>Aspi</w:t>
      </w:r>
      <w:proofErr w:type="spellEnd"/>
      <w:r>
        <w:rPr>
          <w:rFonts w:ascii="Arial" w:hAnsi="Arial" w:cs="Arial"/>
          <w:sz w:val="26"/>
          <w:szCs w:val="26"/>
        </w:rPr>
        <w:t>, 2007.</w:t>
      </w:r>
    </w:p>
    <w:p w:rsidR="006C30C5" w:rsidRPr="004A41AE" w:rsidRDefault="006C24BD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hyperlink r:id="rId12" w:history="1">
        <w:r w:rsidR="00F335DE" w:rsidRPr="004A41AE">
          <w:rPr>
            <w:rFonts w:ascii="Arial" w:hAnsi="Arial" w:cs="Arial"/>
            <w:sz w:val="26"/>
            <w:szCs w:val="26"/>
          </w:rPr>
          <w:t>http://www.cnb.cz/cs/verejnost/pro_media/clanky_rozhovory/media_2000/cl_00_001123b.html</w:t>
        </w:r>
      </w:hyperlink>
      <w:r w:rsidR="00F335DE" w:rsidRPr="004A41AE">
        <w:rPr>
          <w:rFonts w:ascii="Arial" w:hAnsi="Arial" w:cs="Arial"/>
          <w:sz w:val="26"/>
          <w:szCs w:val="26"/>
        </w:rPr>
        <w:t>.</w:t>
      </w:r>
    </w:p>
    <w:p w:rsidR="00F335DE" w:rsidRPr="004A41AE" w:rsidRDefault="006C24BD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hyperlink r:id="rId13" w:history="1">
        <w:r w:rsidR="00F335DE" w:rsidRPr="004A41AE">
          <w:rPr>
            <w:rFonts w:ascii="Arial" w:hAnsi="Arial" w:cs="Arial"/>
            <w:sz w:val="26"/>
            <w:szCs w:val="26"/>
          </w:rPr>
          <w:t>http://www.zavedenieura.cz/cps/rde/xchg/euro/xsl/dokumenty_vyhodnoceni_maastr_kriter.html</w:t>
        </w:r>
      </w:hyperlink>
    </w:p>
    <w:p w:rsidR="00930388" w:rsidRPr="004A41AE" w:rsidRDefault="006C24BD" w:rsidP="004A41AE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hyperlink r:id="rId14" w:history="1">
        <w:r w:rsidR="004A41AE" w:rsidRPr="004A41AE">
          <w:rPr>
            <w:rFonts w:ascii="Arial" w:hAnsi="Arial" w:cs="Arial"/>
            <w:sz w:val="26"/>
            <w:szCs w:val="26"/>
          </w:rPr>
          <w:t>http://ec.europa.eu/ceskarepublika/information/glossary/term_83_cs.htm</w:t>
        </w:r>
      </w:hyperlink>
    </w:p>
    <w:p w:rsidR="004A41AE" w:rsidRDefault="004A41AE" w:rsidP="00DB77BA">
      <w:pPr>
        <w:spacing w:before="120" w:after="120" w:line="360" w:lineRule="auto"/>
        <w:ind w:left="720"/>
        <w:jc w:val="both"/>
        <w:rPr>
          <w:rFonts w:ascii="Arial" w:hAnsi="Arial" w:cs="Arial"/>
          <w:sz w:val="26"/>
          <w:szCs w:val="26"/>
        </w:rPr>
      </w:pPr>
    </w:p>
    <w:p w:rsidR="000D5A48" w:rsidRPr="00930388" w:rsidRDefault="00732850" w:rsidP="00732850">
      <w:pPr>
        <w:pStyle w:val="Nadpis1"/>
      </w:pPr>
      <w:r w:rsidRPr="00930388">
        <w:t xml:space="preserve"> </w:t>
      </w:r>
    </w:p>
    <w:sectPr w:rsidR="000D5A48" w:rsidRPr="00930388" w:rsidSect="002B2627"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F55" w:rsidRDefault="006D6F55" w:rsidP="00505679">
      <w:r>
        <w:separator/>
      </w:r>
    </w:p>
  </w:endnote>
  <w:endnote w:type="continuationSeparator" w:id="0">
    <w:p w:rsidR="006D6F55" w:rsidRDefault="006D6F55" w:rsidP="0050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9AB" w:rsidRDefault="006C24BD">
    <w:pPr>
      <w:pStyle w:val="Zpat"/>
      <w:jc w:val="right"/>
    </w:pPr>
    <w:fldSimple w:instr=" PAGE   \* MERGEFORMAT ">
      <w:r w:rsidR="001F5BCC">
        <w:rPr>
          <w:noProof/>
        </w:rPr>
        <w:t>10</w:t>
      </w:r>
    </w:fldSimple>
  </w:p>
  <w:p w:rsidR="001B49AB" w:rsidRDefault="001B49A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F55" w:rsidRDefault="006D6F55" w:rsidP="00505679">
      <w:r>
        <w:separator/>
      </w:r>
    </w:p>
  </w:footnote>
  <w:footnote w:type="continuationSeparator" w:id="0">
    <w:p w:rsidR="006D6F55" w:rsidRDefault="006D6F55" w:rsidP="005056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7E6"/>
    <w:multiLevelType w:val="multilevel"/>
    <w:tmpl w:val="84BEF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CC45AE"/>
    <w:multiLevelType w:val="hybridMultilevel"/>
    <w:tmpl w:val="D042F722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8A6335D"/>
    <w:multiLevelType w:val="hybridMultilevel"/>
    <w:tmpl w:val="7A6C1B5E"/>
    <w:lvl w:ilvl="0" w:tplc="66B23C3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497918"/>
    <w:multiLevelType w:val="hybridMultilevel"/>
    <w:tmpl w:val="AF98E356"/>
    <w:lvl w:ilvl="0" w:tplc="EF506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8CD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6F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23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386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E7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F86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D0B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E6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F3E19B9"/>
    <w:multiLevelType w:val="hybridMultilevel"/>
    <w:tmpl w:val="18E4646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DB0A09"/>
    <w:multiLevelType w:val="hybridMultilevel"/>
    <w:tmpl w:val="B720D7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B694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DE3BBC"/>
    <w:multiLevelType w:val="hybridMultilevel"/>
    <w:tmpl w:val="9DFEB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36B28"/>
    <w:multiLevelType w:val="hybridMultilevel"/>
    <w:tmpl w:val="7B9EEC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A1504A"/>
    <w:multiLevelType w:val="multilevel"/>
    <w:tmpl w:val="EA8CBB4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2E34F07"/>
    <w:multiLevelType w:val="hybridMultilevel"/>
    <w:tmpl w:val="1982055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A61123"/>
    <w:multiLevelType w:val="hybridMultilevel"/>
    <w:tmpl w:val="425E82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D63600"/>
    <w:multiLevelType w:val="hybridMultilevel"/>
    <w:tmpl w:val="A51A83B6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60A310F6"/>
    <w:multiLevelType w:val="hybridMultilevel"/>
    <w:tmpl w:val="E18A1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9E1428"/>
    <w:multiLevelType w:val="hybridMultilevel"/>
    <w:tmpl w:val="EA8CBB42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058320B"/>
    <w:multiLevelType w:val="hybridMultilevel"/>
    <w:tmpl w:val="1E0C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6138F3"/>
    <w:multiLevelType w:val="hybridMultilevel"/>
    <w:tmpl w:val="24BE06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1E5611"/>
    <w:multiLevelType w:val="hybridMultilevel"/>
    <w:tmpl w:val="1FB830EA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73B694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60A1ED0"/>
    <w:multiLevelType w:val="multilevel"/>
    <w:tmpl w:val="5F2A6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D74683"/>
    <w:multiLevelType w:val="hybridMultilevel"/>
    <w:tmpl w:val="80F4B5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B10EFE"/>
    <w:multiLevelType w:val="hybridMultilevel"/>
    <w:tmpl w:val="922297A6"/>
    <w:lvl w:ilvl="0" w:tplc="E91674CE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9"/>
  </w:num>
  <w:num w:numId="8">
    <w:abstractNumId w:val="12"/>
  </w:num>
  <w:num w:numId="9">
    <w:abstractNumId w:val="14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8"/>
  </w:num>
  <w:num w:numId="15">
    <w:abstractNumId w:val="13"/>
  </w:num>
  <w:num w:numId="16">
    <w:abstractNumId w:val="1"/>
  </w:num>
  <w:num w:numId="17">
    <w:abstractNumId w:val="8"/>
  </w:num>
  <w:num w:numId="18">
    <w:abstractNumId w:val="16"/>
  </w:num>
  <w:num w:numId="19">
    <w:abstractNumId w:val="9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E85"/>
    <w:rsid w:val="00003E21"/>
    <w:rsid w:val="00006148"/>
    <w:rsid w:val="00015BC2"/>
    <w:rsid w:val="00080C60"/>
    <w:rsid w:val="000814BB"/>
    <w:rsid w:val="00086F15"/>
    <w:rsid w:val="00090A24"/>
    <w:rsid w:val="000A5A2A"/>
    <w:rsid w:val="000B3859"/>
    <w:rsid w:val="000B5271"/>
    <w:rsid w:val="000B6287"/>
    <w:rsid w:val="000C4023"/>
    <w:rsid w:val="000D5A48"/>
    <w:rsid w:val="000E1113"/>
    <w:rsid w:val="000E3934"/>
    <w:rsid w:val="000E5255"/>
    <w:rsid w:val="000F2B7F"/>
    <w:rsid w:val="00116111"/>
    <w:rsid w:val="0012010E"/>
    <w:rsid w:val="001227F8"/>
    <w:rsid w:val="0012335E"/>
    <w:rsid w:val="001338BB"/>
    <w:rsid w:val="001379D1"/>
    <w:rsid w:val="00146912"/>
    <w:rsid w:val="001544E5"/>
    <w:rsid w:val="0016183A"/>
    <w:rsid w:val="001774E2"/>
    <w:rsid w:val="001A2B03"/>
    <w:rsid w:val="001A3A26"/>
    <w:rsid w:val="001B195B"/>
    <w:rsid w:val="001B49AB"/>
    <w:rsid w:val="001B669A"/>
    <w:rsid w:val="001C6850"/>
    <w:rsid w:val="001D14FB"/>
    <w:rsid w:val="001F5BCC"/>
    <w:rsid w:val="00203C55"/>
    <w:rsid w:val="00204B52"/>
    <w:rsid w:val="00212885"/>
    <w:rsid w:val="002162EC"/>
    <w:rsid w:val="002223EF"/>
    <w:rsid w:val="002257A3"/>
    <w:rsid w:val="00251576"/>
    <w:rsid w:val="002704CA"/>
    <w:rsid w:val="00274D53"/>
    <w:rsid w:val="00276F04"/>
    <w:rsid w:val="002A2E2E"/>
    <w:rsid w:val="002B2627"/>
    <w:rsid w:val="002D0EC2"/>
    <w:rsid w:val="002D672D"/>
    <w:rsid w:val="002E696B"/>
    <w:rsid w:val="002F4CB3"/>
    <w:rsid w:val="00301D9E"/>
    <w:rsid w:val="00326706"/>
    <w:rsid w:val="00330788"/>
    <w:rsid w:val="0033103A"/>
    <w:rsid w:val="003410D5"/>
    <w:rsid w:val="00343EAB"/>
    <w:rsid w:val="00353E89"/>
    <w:rsid w:val="00361CD7"/>
    <w:rsid w:val="003849AE"/>
    <w:rsid w:val="003C3A04"/>
    <w:rsid w:val="003E1F86"/>
    <w:rsid w:val="003F6637"/>
    <w:rsid w:val="004071A3"/>
    <w:rsid w:val="00416894"/>
    <w:rsid w:val="00416B51"/>
    <w:rsid w:val="0042080C"/>
    <w:rsid w:val="00421526"/>
    <w:rsid w:val="00430855"/>
    <w:rsid w:val="0043231A"/>
    <w:rsid w:val="004502D6"/>
    <w:rsid w:val="00455AC6"/>
    <w:rsid w:val="00470746"/>
    <w:rsid w:val="00472F11"/>
    <w:rsid w:val="00485E40"/>
    <w:rsid w:val="004A41AE"/>
    <w:rsid w:val="004B0A2B"/>
    <w:rsid w:val="004D05DB"/>
    <w:rsid w:val="004D1ECA"/>
    <w:rsid w:val="004E3126"/>
    <w:rsid w:val="004F1D5B"/>
    <w:rsid w:val="004F5927"/>
    <w:rsid w:val="00505679"/>
    <w:rsid w:val="0051519E"/>
    <w:rsid w:val="005302A6"/>
    <w:rsid w:val="00542504"/>
    <w:rsid w:val="00555834"/>
    <w:rsid w:val="005635E5"/>
    <w:rsid w:val="005643F8"/>
    <w:rsid w:val="005A5A15"/>
    <w:rsid w:val="005A728F"/>
    <w:rsid w:val="005B049A"/>
    <w:rsid w:val="005D1851"/>
    <w:rsid w:val="005D687F"/>
    <w:rsid w:val="005F0DB9"/>
    <w:rsid w:val="005F31F1"/>
    <w:rsid w:val="006009E7"/>
    <w:rsid w:val="00623550"/>
    <w:rsid w:val="006422F7"/>
    <w:rsid w:val="00672A43"/>
    <w:rsid w:val="00674B45"/>
    <w:rsid w:val="00677E95"/>
    <w:rsid w:val="006A6A4C"/>
    <w:rsid w:val="006B1558"/>
    <w:rsid w:val="006B1F31"/>
    <w:rsid w:val="006C24BD"/>
    <w:rsid w:val="006C30C5"/>
    <w:rsid w:val="006D331F"/>
    <w:rsid w:val="006D6F55"/>
    <w:rsid w:val="006E0089"/>
    <w:rsid w:val="00705F4E"/>
    <w:rsid w:val="00713DA3"/>
    <w:rsid w:val="00722210"/>
    <w:rsid w:val="00732850"/>
    <w:rsid w:val="00757842"/>
    <w:rsid w:val="00757A2D"/>
    <w:rsid w:val="00765A5E"/>
    <w:rsid w:val="00767171"/>
    <w:rsid w:val="00777C25"/>
    <w:rsid w:val="00780926"/>
    <w:rsid w:val="007A1C9D"/>
    <w:rsid w:val="007B67CD"/>
    <w:rsid w:val="007D658E"/>
    <w:rsid w:val="007D7A4F"/>
    <w:rsid w:val="007E0962"/>
    <w:rsid w:val="007E6D41"/>
    <w:rsid w:val="00802EA4"/>
    <w:rsid w:val="00823350"/>
    <w:rsid w:val="008250E0"/>
    <w:rsid w:val="008714A8"/>
    <w:rsid w:val="00875431"/>
    <w:rsid w:val="0088046C"/>
    <w:rsid w:val="00886D16"/>
    <w:rsid w:val="008A53E5"/>
    <w:rsid w:val="008C45B4"/>
    <w:rsid w:val="008D1EAC"/>
    <w:rsid w:val="008D5BFE"/>
    <w:rsid w:val="008D5FF4"/>
    <w:rsid w:val="008D7955"/>
    <w:rsid w:val="008E2333"/>
    <w:rsid w:val="008E5CEB"/>
    <w:rsid w:val="008F6AB1"/>
    <w:rsid w:val="008F73D4"/>
    <w:rsid w:val="00921145"/>
    <w:rsid w:val="0092692C"/>
    <w:rsid w:val="00930388"/>
    <w:rsid w:val="00951783"/>
    <w:rsid w:val="009538C9"/>
    <w:rsid w:val="00960D8C"/>
    <w:rsid w:val="00962816"/>
    <w:rsid w:val="0096792B"/>
    <w:rsid w:val="009A31B2"/>
    <w:rsid w:val="009A6E39"/>
    <w:rsid w:val="009C01B2"/>
    <w:rsid w:val="009C1445"/>
    <w:rsid w:val="009C44FA"/>
    <w:rsid w:val="009D54BC"/>
    <w:rsid w:val="00A04F7F"/>
    <w:rsid w:val="00A13462"/>
    <w:rsid w:val="00A14575"/>
    <w:rsid w:val="00A225DE"/>
    <w:rsid w:val="00A2673B"/>
    <w:rsid w:val="00A36C56"/>
    <w:rsid w:val="00A5267C"/>
    <w:rsid w:val="00A56E26"/>
    <w:rsid w:val="00A607B3"/>
    <w:rsid w:val="00A744A5"/>
    <w:rsid w:val="00A87867"/>
    <w:rsid w:val="00AA3B05"/>
    <w:rsid w:val="00AB3EB7"/>
    <w:rsid w:val="00AD2613"/>
    <w:rsid w:val="00AD4BC9"/>
    <w:rsid w:val="00AE6610"/>
    <w:rsid w:val="00B04FCE"/>
    <w:rsid w:val="00B1783B"/>
    <w:rsid w:val="00B41AB2"/>
    <w:rsid w:val="00B537DC"/>
    <w:rsid w:val="00B53B47"/>
    <w:rsid w:val="00B55C68"/>
    <w:rsid w:val="00B55C94"/>
    <w:rsid w:val="00B86AF4"/>
    <w:rsid w:val="00B9634E"/>
    <w:rsid w:val="00BC3A31"/>
    <w:rsid w:val="00BC70C1"/>
    <w:rsid w:val="00BF178B"/>
    <w:rsid w:val="00C02F4F"/>
    <w:rsid w:val="00C122BF"/>
    <w:rsid w:val="00C47080"/>
    <w:rsid w:val="00C73F70"/>
    <w:rsid w:val="00CA3895"/>
    <w:rsid w:val="00CA42A4"/>
    <w:rsid w:val="00CC6DC0"/>
    <w:rsid w:val="00CD5AC7"/>
    <w:rsid w:val="00CD7CF7"/>
    <w:rsid w:val="00CE30D4"/>
    <w:rsid w:val="00CE52F1"/>
    <w:rsid w:val="00CF6C07"/>
    <w:rsid w:val="00D04E85"/>
    <w:rsid w:val="00D1562C"/>
    <w:rsid w:val="00D15A45"/>
    <w:rsid w:val="00D16C86"/>
    <w:rsid w:val="00D24B43"/>
    <w:rsid w:val="00D408A3"/>
    <w:rsid w:val="00D54171"/>
    <w:rsid w:val="00D64C5B"/>
    <w:rsid w:val="00D653B7"/>
    <w:rsid w:val="00D90284"/>
    <w:rsid w:val="00DB77BA"/>
    <w:rsid w:val="00DC27D6"/>
    <w:rsid w:val="00DC37C8"/>
    <w:rsid w:val="00DC7CA5"/>
    <w:rsid w:val="00DD12AD"/>
    <w:rsid w:val="00DE185D"/>
    <w:rsid w:val="00DE2CFF"/>
    <w:rsid w:val="00DE6BC2"/>
    <w:rsid w:val="00DE6E9E"/>
    <w:rsid w:val="00DF4C86"/>
    <w:rsid w:val="00DF503A"/>
    <w:rsid w:val="00E01A34"/>
    <w:rsid w:val="00E028CD"/>
    <w:rsid w:val="00E10D76"/>
    <w:rsid w:val="00E24FC8"/>
    <w:rsid w:val="00E53E80"/>
    <w:rsid w:val="00E54226"/>
    <w:rsid w:val="00E57787"/>
    <w:rsid w:val="00E70264"/>
    <w:rsid w:val="00E856DF"/>
    <w:rsid w:val="00E90B2B"/>
    <w:rsid w:val="00E93846"/>
    <w:rsid w:val="00ED750D"/>
    <w:rsid w:val="00EE08B0"/>
    <w:rsid w:val="00EE34EF"/>
    <w:rsid w:val="00EE4196"/>
    <w:rsid w:val="00EF5123"/>
    <w:rsid w:val="00F02958"/>
    <w:rsid w:val="00F21F8C"/>
    <w:rsid w:val="00F23F97"/>
    <w:rsid w:val="00F24E36"/>
    <w:rsid w:val="00F2501E"/>
    <w:rsid w:val="00F25591"/>
    <w:rsid w:val="00F255A5"/>
    <w:rsid w:val="00F27BC7"/>
    <w:rsid w:val="00F335DE"/>
    <w:rsid w:val="00F44837"/>
    <w:rsid w:val="00F50FD8"/>
    <w:rsid w:val="00F56354"/>
    <w:rsid w:val="00F81767"/>
    <w:rsid w:val="00F829A8"/>
    <w:rsid w:val="00F93850"/>
    <w:rsid w:val="00FA4B9A"/>
    <w:rsid w:val="00FB2109"/>
    <w:rsid w:val="00FC3E53"/>
    <w:rsid w:val="00FD0E47"/>
    <w:rsid w:val="00FE341A"/>
    <w:rsid w:val="00FF11F0"/>
    <w:rsid w:val="00FF170C"/>
    <w:rsid w:val="00FF52C7"/>
    <w:rsid w:val="00FF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E8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E34EF"/>
    <w:pPr>
      <w:keepNext/>
      <w:spacing w:before="120" w:after="120"/>
      <w:outlineLvl w:val="0"/>
    </w:pPr>
    <w:rPr>
      <w:rFonts w:cs="Arial"/>
      <w:b/>
      <w:bCs/>
      <w:u w:val="double"/>
    </w:rPr>
  </w:style>
  <w:style w:type="paragraph" w:styleId="Nadpis2">
    <w:name w:val="heading 2"/>
    <w:basedOn w:val="Normln"/>
    <w:next w:val="Normln"/>
    <w:link w:val="Nadpis2Char"/>
    <w:uiPriority w:val="9"/>
    <w:qFormat/>
    <w:rsid w:val="001D14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B55C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34EF"/>
    <w:rPr>
      <w:rFonts w:ascii="Tahoma" w:eastAsia="Calibri" w:hAnsi="Tahoma" w:cs="Arial"/>
      <w:b/>
      <w:bCs/>
      <w:u w:val="double"/>
    </w:rPr>
  </w:style>
  <w:style w:type="paragraph" w:styleId="FormtovanvHTML">
    <w:name w:val="HTML Preformatted"/>
    <w:basedOn w:val="Normln"/>
    <w:link w:val="FormtovanvHTMLChar"/>
    <w:rsid w:val="004D0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4D05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C94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B55C94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B55C94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1D14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674B45"/>
    <w:pPr>
      <w:suppressAutoHyphens/>
      <w:spacing w:line="100" w:lineRule="atLeast"/>
      <w:jc w:val="center"/>
    </w:pPr>
    <w:rPr>
      <w:sz w:val="32"/>
      <w:lang w:eastAsia="ar-SA"/>
    </w:rPr>
  </w:style>
  <w:style w:type="character" w:customStyle="1" w:styleId="NzevChar">
    <w:name w:val="Název Char"/>
    <w:basedOn w:val="Standardnpsmoodstavce"/>
    <w:link w:val="Nzev"/>
    <w:rsid w:val="00674B45"/>
    <w:rPr>
      <w:rFonts w:ascii="Times New Roman" w:eastAsia="Times New Roman" w:hAnsi="Times New Roman"/>
      <w:sz w:val="3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674B45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674B4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674B45"/>
    <w:rPr>
      <w:rFonts w:ascii="Cambria" w:eastAsia="Times New Roman" w:hAnsi="Cambria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5056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5679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056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5679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79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15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157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576"/>
    <w:rPr>
      <w:vertAlign w:val="superscript"/>
    </w:rPr>
  </w:style>
  <w:style w:type="table" w:styleId="Mkatabulky">
    <w:name w:val="Table Grid"/>
    <w:basedOn w:val="Normlntabulka"/>
    <w:uiPriority w:val="59"/>
    <w:rsid w:val="00E93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qFormat/>
    <w:rsid w:val="00E53E80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9028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90284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D9028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DF4C86"/>
    <w:pPr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F4C86"/>
  </w:style>
  <w:style w:type="character" w:customStyle="1" w:styleId="bbtext">
    <w:name w:val="bbtext"/>
    <w:basedOn w:val="Standardnpsmoodstavce"/>
    <w:rsid w:val="006422F7"/>
  </w:style>
  <w:style w:type="paragraph" w:styleId="Odstavecseseznamem">
    <w:name w:val="List Paragraph"/>
    <w:basedOn w:val="Normln"/>
    <w:uiPriority w:val="34"/>
    <w:qFormat/>
    <w:rsid w:val="006C30C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F335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2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zavedenieura.cz/cps/rde/xchg/euro/xsl/dokumenty_vyhodnoceni_maastr_krite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b.cz/cs/verejnost/pro_media/clanky_rozhovory/media_2000/cl_00_001123b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lincnerova.karin@pacr.eu" TargetMode="External"/><Relationship Id="rId14" Type="http://schemas.openxmlformats.org/officeDocument/2006/relationships/hyperlink" Target="http://ec.europa.eu/ceskarepublika/information/glossary/term_83_cs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377B-D6FB-4914-B707-D00B748F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1912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Daňový systém</vt:lpstr>
    </vt:vector>
  </TitlesOfParts>
  <Company/>
  <LinksUpToDate>false</LinksUpToDate>
  <CharactersWithSpaces>13170</CharactersWithSpaces>
  <SharedDoc>false</SharedDoc>
  <HLinks>
    <vt:vector size="60" baseType="variant"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_Toc276452024</vt:lpwstr>
      </vt:variant>
      <vt:variant>
        <vt:i4>1310769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_Toc276452023</vt:lpwstr>
      </vt:variant>
      <vt:variant>
        <vt:i4>1310769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_Toc276452022</vt:lpwstr>
      </vt:variant>
      <vt:variant>
        <vt:i4>1310769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_Toc276452021</vt:lpwstr>
      </vt:variant>
      <vt:variant>
        <vt:i4>1310769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_Toc276452020</vt:lpwstr>
      </vt:variant>
      <vt:variant>
        <vt:i4>1507377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_Toc276452019</vt:lpwstr>
      </vt:variant>
      <vt:variant>
        <vt:i4>1507377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_Toc276452018</vt:lpwstr>
      </vt:variant>
      <vt:variant>
        <vt:i4>1507377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_Toc276452017</vt:lpwstr>
      </vt:variant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mailto:plincnerova.karin@pacr.eu</vt:lpwstr>
      </vt:variant>
      <vt:variant>
        <vt:lpwstr/>
      </vt:variant>
      <vt:variant>
        <vt:i4>852024</vt:i4>
      </vt:variant>
      <vt:variant>
        <vt:i4>0</vt:i4>
      </vt:variant>
      <vt:variant>
        <vt:i4>0</vt:i4>
      </vt:variant>
      <vt:variant>
        <vt:i4>5</vt:i4>
      </vt:variant>
      <vt:variant>
        <vt:lpwstr>http://www.sagit.cz/pages/lexikonheslatxt.asp?cd=74&amp;typ=r&amp;levelid=DA_065.HTM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Daňový systém</dc:title>
  <dc:subject>Manažerská ekonomika</dc:subject>
  <dc:creator>Karin Plincnerová</dc:creator>
  <cp:keywords/>
  <dc:description/>
  <cp:lastModifiedBy>Karin Plincnerová</cp:lastModifiedBy>
  <cp:revision>11</cp:revision>
  <cp:lastPrinted>2010-03-01T09:40:00Z</cp:lastPrinted>
  <dcterms:created xsi:type="dcterms:W3CDTF">2011-02-20T07:46:00Z</dcterms:created>
  <dcterms:modified xsi:type="dcterms:W3CDTF">2011-02-23T04:41:00Z</dcterms:modified>
</cp:coreProperties>
</file>