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B45" w:rsidRPr="002223EF" w:rsidRDefault="00674B45" w:rsidP="00674B45">
      <w:pPr>
        <w:pStyle w:val="Nzev"/>
        <w:spacing w:line="360" w:lineRule="auto"/>
        <w:rPr>
          <w:rFonts w:ascii="Arial" w:hAnsi="Arial" w:cs="Arial"/>
        </w:rPr>
      </w:pPr>
    </w:p>
    <w:p w:rsidR="00674B45" w:rsidRPr="002223EF" w:rsidRDefault="00AE6E96" w:rsidP="00674B45">
      <w:pPr>
        <w:pStyle w:val="Nzev"/>
        <w:spacing w:line="360" w:lineRule="auto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40005</wp:posOffset>
            </wp:positionV>
            <wp:extent cx="742950" cy="723900"/>
            <wp:effectExtent l="19050" t="0" r="0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B45" w:rsidRPr="002223EF" w:rsidRDefault="00674B45" w:rsidP="00674B45">
      <w:pPr>
        <w:rPr>
          <w:rFonts w:ascii="Arial" w:hAnsi="Arial" w:cs="Arial"/>
          <w:b/>
          <w:bCs/>
          <w:sz w:val="28"/>
        </w:rPr>
      </w:pPr>
      <w:bookmarkStart w:id="0" w:name="_Toc160597478"/>
      <w:bookmarkStart w:id="1" w:name="_Toc162088905"/>
      <w:r w:rsidRPr="002223EF">
        <w:rPr>
          <w:rFonts w:ascii="Arial" w:hAnsi="Arial" w:cs="Arial"/>
          <w:b/>
          <w:bCs/>
          <w:sz w:val="28"/>
        </w:rPr>
        <w:t>POLICEJNÍ AKADEMIE ČESKÉ REPUBLIKY</w:t>
      </w:r>
      <w:bookmarkEnd w:id="0"/>
      <w:bookmarkEnd w:id="1"/>
      <w:r w:rsidR="00353E89">
        <w:rPr>
          <w:rFonts w:ascii="Arial" w:hAnsi="Arial" w:cs="Arial"/>
          <w:b/>
          <w:bCs/>
          <w:sz w:val="28"/>
        </w:rPr>
        <w:t xml:space="preserve"> V PRAZE</w:t>
      </w:r>
    </w:p>
    <w:p w:rsidR="00674B45" w:rsidRPr="002223EF" w:rsidRDefault="00674B45" w:rsidP="00674B45">
      <w:pPr>
        <w:rPr>
          <w:rFonts w:ascii="Arial" w:hAnsi="Arial" w:cs="Arial"/>
          <w:sz w:val="32"/>
        </w:rPr>
      </w:pPr>
    </w:p>
    <w:p w:rsidR="00674B45" w:rsidRPr="002223EF" w:rsidRDefault="00674B45" w:rsidP="00674B45">
      <w:pPr>
        <w:rPr>
          <w:rFonts w:ascii="Arial" w:hAnsi="Arial" w:cs="Arial"/>
          <w:sz w:val="32"/>
        </w:rPr>
      </w:pPr>
    </w:p>
    <w:p w:rsidR="00674B45" w:rsidRPr="002223EF" w:rsidRDefault="00674B45" w:rsidP="00674B45">
      <w:pPr>
        <w:jc w:val="center"/>
        <w:rPr>
          <w:rFonts w:ascii="Arial" w:hAnsi="Arial" w:cs="Arial"/>
        </w:rPr>
      </w:pPr>
    </w:p>
    <w:p w:rsidR="00765A5E" w:rsidRPr="002223EF" w:rsidRDefault="00765A5E" w:rsidP="00674B45">
      <w:pPr>
        <w:jc w:val="center"/>
        <w:rPr>
          <w:rFonts w:ascii="Arial" w:hAnsi="Arial" w:cs="Arial"/>
        </w:rPr>
      </w:pPr>
    </w:p>
    <w:p w:rsidR="00765A5E" w:rsidRPr="002223EF" w:rsidRDefault="00765A5E" w:rsidP="00674B45">
      <w:pPr>
        <w:jc w:val="center"/>
        <w:rPr>
          <w:rFonts w:ascii="Arial" w:hAnsi="Arial" w:cs="Arial"/>
        </w:rPr>
      </w:pPr>
    </w:p>
    <w:p w:rsidR="00765A5E" w:rsidRPr="002223EF" w:rsidRDefault="00765A5E" w:rsidP="00674B45">
      <w:pPr>
        <w:jc w:val="center"/>
        <w:rPr>
          <w:rFonts w:ascii="Arial" w:hAnsi="Arial" w:cs="Arial"/>
        </w:rPr>
      </w:pPr>
    </w:p>
    <w:p w:rsidR="00765A5E" w:rsidRPr="002223EF" w:rsidRDefault="00765A5E" w:rsidP="00674B45">
      <w:pPr>
        <w:jc w:val="center"/>
        <w:rPr>
          <w:rFonts w:ascii="Arial" w:hAnsi="Arial" w:cs="Arial"/>
        </w:rPr>
      </w:pPr>
    </w:p>
    <w:p w:rsidR="00674B45" w:rsidRPr="002223EF" w:rsidRDefault="00674B45" w:rsidP="00674B45">
      <w:pPr>
        <w:jc w:val="center"/>
        <w:rPr>
          <w:rFonts w:ascii="Arial" w:hAnsi="Arial" w:cs="Arial"/>
        </w:rPr>
      </w:pPr>
    </w:p>
    <w:p w:rsidR="00674B45" w:rsidRPr="002223EF" w:rsidRDefault="00674B45" w:rsidP="00674B45">
      <w:pPr>
        <w:jc w:val="center"/>
        <w:rPr>
          <w:rFonts w:ascii="Arial" w:hAnsi="Arial" w:cs="Arial"/>
        </w:rPr>
      </w:pPr>
    </w:p>
    <w:p w:rsidR="00674B45" w:rsidRPr="002223EF" w:rsidRDefault="00674B45" w:rsidP="00674B45">
      <w:pPr>
        <w:jc w:val="center"/>
        <w:rPr>
          <w:rFonts w:ascii="Arial" w:hAnsi="Arial" w:cs="Arial"/>
        </w:rPr>
      </w:pPr>
    </w:p>
    <w:p w:rsidR="00674B45" w:rsidRPr="002223EF" w:rsidRDefault="00276F04" w:rsidP="00276F04">
      <w:pPr>
        <w:tabs>
          <w:tab w:val="left" w:pos="43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74B45" w:rsidRPr="002223EF" w:rsidRDefault="009520BB" w:rsidP="002223EF">
      <w:pPr>
        <w:jc w:val="center"/>
        <w:rPr>
          <w:rFonts w:ascii="Arial" w:hAnsi="Arial" w:cs="Arial"/>
          <w:sz w:val="32"/>
        </w:rPr>
      </w:pPr>
      <w:bookmarkStart w:id="2" w:name="_Toc160597479"/>
      <w:bookmarkStart w:id="3" w:name="_Toc162088906"/>
      <w:r>
        <w:rPr>
          <w:rFonts w:ascii="Arial" w:hAnsi="Arial" w:cs="Arial"/>
          <w:sz w:val="40"/>
          <w:szCs w:val="40"/>
        </w:rPr>
        <w:t>Nepovolená akce - technop</w:t>
      </w:r>
      <w:r w:rsidR="005A40D6">
        <w:rPr>
          <w:rFonts w:ascii="Arial" w:hAnsi="Arial" w:cs="Arial"/>
          <w:sz w:val="40"/>
          <w:szCs w:val="40"/>
        </w:rPr>
        <w:t>á</w:t>
      </w:r>
      <w:r>
        <w:rPr>
          <w:rFonts w:ascii="Arial" w:hAnsi="Arial" w:cs="Arial"/>
          <w:sz w:val="40"/>
          <w:szCs w:val="40"/>
        </w:rPr>
        <w:t>rty</w:t>
      </w:r>
    </w:p>
    <w:p w:rsidR="00674B45" w:rsidRPr="002223EF" w:rsidRDefault="00674B45" w:rsidP="00674B45">
      <w:pPr>
        <w:rPr>
          <w:rFonts w:ascii="Arial" w:hAnsi="Arial" w:cs="Arial"/>
          <w:sz w:val="32"/>
        </w:rPr>
      </w:pPr>
    </w:p>
    <w:p w:rsidR="00674B45" w:rsidRPr="002223EF" w:rsidRDefault="00674B45" w:rsidP="00674B45">
      <w:pPr>
        <w:rPr>
          <w:rFonts w:ascii="Arial" w:hAnsi="Arial" w:cs="Arial"/>
          <w:sz w:val="32"/>
        </w:rPr>
      </w:pPr>
    </w:p>
    <w:p w:rsidR="00674B45" w:rsidRPr="002223EF" w:rsidRDefault="00674B45" w:rsidP="00674B45">
      <w:pPr>
        <w:rPr>
          <w:rFonts w:ascii="Arial" w:hAnsi="Arial" w:cs="Arial"/>
          <w:sz w:val="32"/>
        </w:rPr>
      </w:pPr>
    </w:p>
    <w:p w:rsidR="00674B45" w:rsidRPr="002223EF" w:rsidRDefault="00674B45" w:rsidP="00674B45">
      <w:pPr>
        <w:rPr>
          <w:rFonts w:ascii="Arial" w:hAnsi="Arial" w:cs="Arial"/>
          <w:sz w:val="32"/>
        </w:rPr>
      </w:pPr>
    </w:p>
    <w:p w:rsidR="00674B45" w:rsidRPr="002223EF" w:rsidRDefault="00674B45" w:rsidP="00674B45">
      <w:pPr>
        <w:rPr>
          <w:rFonts w:ascii="Arial" w:hAnsi="Arial" w:cs="Arial"/>
          <w:sz w:val="32"/>
        </w:rPr>
      </w:pPr>
    </w:p>
    <w:p w:rsidR="00674B45" w:rsidRPr="002223EF" w:rsidRDefault="00674B45" w:rsidP="00674B45">
      <w:pPr>
        <w:rPr>
          <w:rFonts w:ascii="Arial" w:hAnsi="Arial" w:cs="Arial"/>
          <w:sz w:val="32"/>
        </w:rPr>
      </w:pPr>
    </w:p>
    <w:p w:rsidR="00674B45" w:rsidRPr="002223EF" w:rsidRDefault="00674B45" w:rsidP="00674B45">
      <w:pPr>
        <w:jc w:val="center"/>
        <w:rPr>
          <w:rFonts w:ascii="Arial" w:hAnsi="Arial" w:cs="Arial"/>
          <w:sz w:val="32"/>
        </w:rPr>
      </w:pPr>
      <w:r w:rsidRPr="002223EF">
        <w:rPr>
          <w:rFonts w:ascii="Arial" w:hAnsi="Arial" w:cs="Arial"/>
          <w:sz w:val="32"/>
        </w:rPr>
        <w:t>Semestrální práce</w:t>
      </w:r>
    </w:p>
    <w:p w:rsidR="00674B45" w:rsidRPr="002223EF" w:rsidRDefault="00674B45" w:rsidP="00674B45">
      <w:pPr>
        <w:jc w:val="center"/>
        <w:rPr>
          <w:rFonts w:ascii="Arial" w:hAnsi="Arial" w:cs="Arial"/>
          <w:sz w:val="32"/>
        </w:rPr>
      </w:pPr>
      <w:r w:rsidRPr="002223EF">
        <w:rPr>
          <w:rFonts w:ascii="Arial" w:hAnsi="Arial" w:cs="Arial"/>
          <w:sz w:val="32"/>
        </w:rPr>
        <w:t xml:space="preserve">z předmětu </w:t>
      </w:r>
      <w:bookmarkEnd w:id="2"/>
      <w:bookmarkEnd w:id="3"/>
      <w:r w:rsidR="009520BB">
        <w:rPr>
          <w:rFonts w:ascii="Arial" w:hAnsi="Arial" w:cs="Arial"/>
          <w:sz w:val="32"/>
        </w:rPr>
        <w:t>Metodiky pro řízení bezpečnosti území</w:t>
      </w:r>
    </w:p>
    <w:p w:rsidR="00674B45" w:rsidRPr="002223EF" w:rsidRDefault="00674B45" w:rsidP="00674B45">
      <w:pPr>
        <w:rPr>
          <w:rFonts w:ascii="Arial" w:hAnsi="Arial" w:cs="Arial"/>
          <w:sz w:val="28"/>
          <w:szCs w:val="28"/>
        </w:rPr>
      </w:pPr>
    </w:p>
    <w:p w:rsidR="00674B45" w:rsidRPr="002223EF" w:rsidRDefault="00674B45" w:rsidP="00674B45">
      <w:pPr>
        <w:rPr>
          <w:rFonts w:ascii="Arial" w:hAnsi="Arial" w:cs="Arial"/>
          <w:sz w:val="28"/>
          <w:szCs w:val="28"/>
        </w:rPr>
      </w:pPr>
    </w:p>
    <w:p w:rsidR="00674B45" w:rsidRPr="002223EF" w:rsidRDefault="00674B45" w:rsidP="00674B45">
      <w:pPr>
        <w:rPr>
          <w:rFonts w:ascii="Arial" w:hAnsi="Arial" w:cs="Arial"/>
          <w:sz w:val="28"/>
          <w:szCs w:val="28"/>
        </w:rPr>
      </w:pPr>
    </w:p>
    <w:p w:rsidR="00674B45" w:rsidRPr="002223EF" w:rsidRDefault="00674B45" w:rsidP="00674B45">
      <w:pPr>
        <w:rPr>
          <w:rFonts w:ascii="Arial" w:hAnsi="Arial" w:cs="Arial"/>
          <w:sz w:val="28"/>
          <w:szCs w:val="28"/>
        </w:rPr>
      </w:pPr>
    </w:p>
    <w:p w:rsidR="00765A5E" w:rsidRPr="002223EF" w:rsidRDefault="00765A5E" w:rsidP="00674B45">
      <w:pPr>
        <w:rPr>
          <w:rFonts w:ascii="Arial" w:hAnsi="Arial" w:cs="Arial"/>
          <w:sz w:val="28"/>
          <w:szCs w:val="28"/>
        </w:rPr>
      </w:pPr>
    </w:p>
    <w:p w:rsidR="00765A5E" w:rsidRPr="002223EF" w:rsidRDefault="00765A5E" w:rsidP="00674B45">
      <w:pPr>
        <w:rPr>
          <w:rFonts w:ascii="Arial" w:hAnsi="Arial" w:cs="Arial"/>
          <w:sz w:val="28"/>
          <w:szCs w:val="28"/>
        </w:rPr>
      </w:pPr>
    </w:p>
    <w:p w:rsidR="00765A5E" w:rsidRPr="002223EF" w:rsidRDefault="00765A5E" w:rsidP="00674B45">
      <w:pPr>
        <w:rPr>
          <w:rFonts w:ascii="Arial" w:hAnsi="Arial" w:cs="Arial"/>
          <w:sz w:val="28"/>
          <w:szCs w:val="28"/>
        </w:rPr>
      </w:pPr>
    </w:p>
    <w:p w:rsidR="00674B45" w:rsidRPr="002223EF" w:rsidRDefault="00674B45" w:rsidP="00674B45">
      <w:pPr>
        <w:rPr>
          <w:rFonts w:ascii="Arial" w:hAnsi="Arial" w:cs="Arial"/>
          <w:sz w:val="28"/>
          <w:szCs w:val="28"/>
        </w:rPr>
      </w:pPr>
    </w:p>
    <w:p w:rsidR="008D40D3" w:rsidRDefault="00674B45" w:rsidP="00674B45">
      <w:pPr>
        <w:rPr>
          <w:rFonts w:ascii="Arial" w:hAnsi="Arial" w:cs="Arial"/>
        </w:rPr>
      </w:pPr>
      <w:bookmarkStart w:id="4" w:name="_Toc160597480"/>
      <w:bookmarkStart w:id="5" w:name="_Toc162088907"/>
      <w:r w:rsidRPr="002223EF">
        <w:rPr>
          <w:rFonts w:ascii="Arial" w:hAnsi="Arial" w:cs="Arial"/>
        </w:rPr>
        <w:t xml:space="preserve">Vypracovala: </w:t>
      </w:r>
      <w:r w:rsidRPr="002223EF">
        <w:rPr>
          <w:rFonts w:ascii="Arial" w:hAnsi="Arial" w:cs="Arial"/>
        </w:rPr>
        <w:tab/>
      </w:r>
      <w:r w:rsidR="002223EF">
        <w:rPr>
          <w:rFonts w:ascii="Arial" w:hAnsi="Arial" w:cs="Arial"/>
        </w:rPr>
        <w:t xml:space="preserve">Bc. </w:t>
      </w:r>
      <w:r w:rsidRPr="002223EF">
        <w:rPr>
          <w:rFonts w:ascii="Arial" w:hAnsi="Arial" w:cs="Arial"/>
        </w:rPr>
        <w:t>Karin Plincnerová</w:t>
      </w:r>
      <w:bookmarkEnd w:id="4"/>
      <w:bookmarkEnd w:id="5"/>
      <w:r w:rsidR="00AF7139">
        <w:rPr>
          <w:rFonts w:ascii="Arial" w:hAnsi="Arial" w:cs="Arial"/>
        </w:rPr>
        <w:tab/>
      </w:r>
      <w:r w:rsidR="00AF7139">
        <w:rPr>
          <w:rFonts w:ascii="Arial" w:hAnsi="Arial" w:cs="Arial"/>
        </w:rPr>
        <w:tab/>
      </w:r>
      <w:r w:rsidR="00AF7139">
        <w:rPr>
          <w:rFonts w:ascii="Arial" w:hAnsi="Arial" w:cs="Arial"/>
        </w:rPr>
        <w:tab/>
      </w:r>
    </w:p>
    <w:p w:rsidR="002223EF" w:rsidRPr="002223EF" w:rsidRDefault="00674B45" w:rsidP="00674B45">
      <w:pPr>
        <w:rPr>
          <w:rFonts w:ascii="Arial" w:hAnsi="Arial" w:cs="Arial"/>
        </w:rPr>
      </w:pPr>
      <w:r w:rsidRPr="002223EF">
        <w:rPr>
          <w:rFonts w:ascii="Arial" w:hAnsi="Arial" w:cs="Arial"/>
        </w:rPr>
        <w:t>Obor:</w:t>
      </w:r>
      <w:r w:rsidRPr="002223EF">
        <w:rPr>
          <w:rFonts w:ascii="Arial" w:hAnsi="Arial" w:cs="Arial"/>
        </w:rPr>
        <w:tab/>
      </w:r>
      <w:r w:rsidRPr="002223EF">
        <w:rPr>
          <w:rFonts w:ascii="Arial" w:hAnsi="Arial" w:cs="Arial"/>
        </w:rPr>
        <w:tab/>
      </w:r>
      <w:r w:rsidR="002223EF">
        <w:rPr>
          <w:rFonts w:ascii="Arial" w:hAnsi="Arial" w:cs="Arial"/>
        </w:rPr>
        <w:tab/>
      </w:r>
      <w:r w:rsidR="002223EF" w:rsidRPr="002223EF">
        <w:rPr>
          <w:rFonts w:ascii="Arial" w:hAnsi="Arial" w:cs="Arial"/>
        </w:rPr>
        <w:t xml:space="preserve">Bezpečnostní management ve veřejné správě </w:t>
      </w:r>
    </w:p>
    <w:p w:rsidR="00674B45" w:rsidRPr="002223EF" w:rsidRDefault="00674B45" w:rsidP="00674B45">
      <w:pPr>
        <w:rPr>
          <w:rFonts w:ascii="Arial" w:hAnsi="Arial" w:cs="Arial"/>
        </w:rPr>
      </w:pPr>
      <w:r w:rsidRPr="002223EF">
        <w:rPr>
          <w:rFonts w:ascii="Arial" w:hAnsi="Arial" w:cs="Arial"/>
        </w:rPr>
        <w:t>Forma:</w:t>
      </w:r>
      <w:r w:rsidRPr="002223EF">
        <w:rPr>
          <w:rFonts w:ascii="Arial" w:hAnsi="Arial" w:cs="Arial"/>
        </w:rPr>
        <w:tab/>
      </w:r>
      <w:r w:rsidR="002223EF">
        <w:rPr>
          <w:rFonts w:ascii="Arial" w:hAnsi="Arial" w:cs="Arial"/>
        </w:rPr>
        <w:tab/>
      </w:r>
      <w:r w:rsidRPr="002223EF">
        <w:rPr>
          <w:rFonts w:ascii="Arial" w:hAnsi="Arial" w:cs="Arial"/>
        </w:rPr>
        <w:t>kombinovaná</w:t>
      </w:r>
    </w:p>
    <w:p w:rsidR="00674B45" w:rsidRPr="002223EF" w:rsidRDefault="00674B45" w:rsidP="00674B45">
      <w:pPr>
        <w:rPr>
          <w:rFonts w:ascii="Arial" w:hAnsi="Arial" w:cs="Arial"/>
        </w:rPr>
      </w:pPr>
      <w:r w:rsidRPr="002223EF">
        <w:rPr>
          <w:rFonts w:ascii="Arial" w:hAnsi="Arial" w:cs="Arial"/>
        </w:rPr>
        <w:t>Ročník:</w:t>
      </w:r>
      <w:r w:rsidRPr="002223EF">
        <w:rPr>
          <w:rFonts w:ascii="Arial" w:hAnsi="Arial" w:cs="Arial"/>
        </w:rPr>
        <w:tab/>
      </w:r>
      <w:r w:rsidR="002223EF">
        <w:rPr>
          <w:rFonts w:ascii="Arial" w:hAnsi="Arial" w:cs="Arial"/>
        </w:rPr>
        <w:tab/>
      </w:r>
      <w:r w:rsidR="009520BB">
        <w:rPr>
          <w:rFonts w:ascii="Arial" w:hAnsi="Arial" w:cs="Arial"/>
        </w:rPr>
        <w:t>I</w:t>
      </w:r>
      <w:r w:rsidRPr="002223EF">
        <w:rPr>
          <w:rFonts w:ascii="Arial" w:hAnsi="Arial" w:cs="Arial"/>
        </w:rPr>
        <w:t>I.</w:t>
      </w:r>
      <w:r w:rsidR="002223EF">
        <w:rPr>
          <w:rFonts w:ascii="Arial" w:hAnsi="Arial" w:cs="Arial"/>
        </w:rPr>
        <w:t xml:space="preserve"> – N71</w:t>
      </w:r>
    </w:p>
    <w:p w:rsidR="00674B45" w:rsidRPr="002223EF" w:rsidRDefault="00674B45" w:rsidP="00674B45">
      <w:pPr>
        <w:rPr>
          <w:rFonts w:ascii="Arial" w:hAnsi="Arial" w:cs="Arial"/>
        </w:rPr>
      </w:pPr>
      <w:r w:rsidRPr="002223EF">
        <w:rPr>
          <w:rFonts w:ascii="Arial" w:hAnsi="Arial" w:cs="Arial"/>
        </w:rPr>
        <w:t>Datum:</w:t>
      </w:r>
      <w:r w:rsidRPr="002223EF">
        <w:rPr>
          <w:rFonts w:ascii="Arial" w:hAnsi="Arial" w:cs="Arial"/>
        </w:rPr>
        <w:tab/>
      </w:r>
      <w:r w:rsidR="002223EF">
        <w:rPr>
          <w:rFonts w:ascii="Arial" w:hAnsi="Arial" w:cs="Arial"/>
        </w:rPr>
        <w:tab/>
      </w:r>
      <w:r w:rsidR="009520BB">
        <w:rPr>
          <w:rFonts w:ascii="Arial" w:hAnsi="Arial" w:cs="Arial"/>
        </w:rPr>
        <w:t xml:space="preserve">19. 10. </w:t>
      </w:r>
      <w:r w:rsidR="002223EF" w:rsidRPr="002223EF">
        <w:rPr>
          <w:rFonts w:ascii="Arial" w:hAnsi="Arial" w:cs="Arial"/>
        </w:rPr>
        <w:t>2010</w:t>
      </w:r>
    </w:p>
    <w:p w:rsidR="00674B45" w:rsidRPr="002223EF" w:rsidRDefault="00674B45" w:rsidP="00674B45">
      <w:pPr>
        <w:rPr>
          <w:rFonts w:ascii="Arial" w:hAnsi="Arial" w:cs="Arial"/>
        </w:rPr>
      </w:pPr>
      <w:r w:rsidRPr="002223EF">
        <w:rPr>
          <w:rFonts w:ascii="Arial" w:hAnsi="Arial" w:cs="Arial"/>
        </w:rPr>
        <w:t>E-mail:</w:t>
      </w:r>
      <w:r w:rsidRPr="002223EF">
        <w:rPr>
          <w:rFonts w:ascii="Arial" w:hAnsi="Arial" w:cs="Arial"/>
        </w:rPr>
        <w:tab/>
      </w:r>
      <w:r w:rsidR="002223EF">
        <w:rPr>
          <w:rFonts w:ascii="Arial" w:hAnsi="Arial" w:cs="Arial"/>
        </w:rPr>
        <w:tab/>
      </w:r>
      <w:hyperlink r:id="rId8" w:history="1">
        <w:r w:rsidR="002223EF" w:rsidRPr="002223EF">
          <w:rPr>
            <w:rStyle w:val="Hypertextovodkaz"/>
            <w:rFonts w:ascii="Arial" w:hAnsi="Arial" w:cs="Arial"/>
          </w:rPr>
          <w:t>plincnerova.karin@pacr.eu</w:t>
        </w:r>
      </w:hyperlink>
    </w:p>
    <w:p w:rsidR="00C67930" w:rsidRPr="00DA553E" w:rsidRDefault="00C67930" w:rsidP="00DA553E">
      <w:pPr>
        <w:pStyle w:val="Nadpis2"/>
        <w:spacing w:line="360" w:lineRule="auto"/>
        <w:rPr>
          <w:noProof/>
          <w:sz w:val="26"/>
          <w:szCs w:val="26"/>
        </w:rPr>
      </w:pPr>
      <w:r>
        <w:rPr>
          <w:rFonts w:ascii="Arial" w:hAnsi="Arial" w:cs="Arial"/>
          <w:sz w:val="24"/>
          <w:szCs w:val="24"/>
        </w:rPr>
        <w:br w:type="page"/>
      </w:r>
      <w:r w:rsidRPr="00DA553E">
        <w:rPr>
          <w:rFonts w:ascii="Arial" w:hAnsi="Arial" w:cs="Arial"/>
          <w:sz w:val="26"/>
          <w:szCs w:val="26"/>
        </w:rPr>
        <w:lastRenderedPageBreak/>
        <w:fldChar w:fldCharType="begin"/>
      </w:r>
      <w:r w:rsidRPr="00DA553E">
        <w:rPr>
          <w:rFonts w:ascii="Arial" w:hAnsi="Arial" w:cs="Arial"/>
          <w:sz w:val="26"/>
          <w:szCs w:val="26"/>
        </w:rPr>
        <w:instrText xml:space="preserve"> TOC \o "1-2" \h \z \u </w:instrText>
      </w:r>
      <w:r w:rsidRPr="00DA553E">
        <w:rPr>
          <w:rFonts w:ascii="Arial" w:hAnsi="Arial" w:cs="Arial"/>
          <w:sz w:val="26"/>
          <w:szCs w:val="26"/>
        </w:rPr>
        <w:fldChar w:fldCharType="separate"/>
      </w:r>
    </w:p>
    <w:p w:rsidR="00C67930" w:rsidRPr="00DA553E" w:rsidRDefault="00C67930" w:rsidP="00DA553E">
      <w:pPr>
        <w:pStyle w:val="Obsah2"/>
        <w:tabs>
          <w:tab w:val="right" w:leader="dot" w:pos="9062"/>
        </w:tabs>
        <w:spacing w:line="360" w:lineRule="auto"/>
        <w:rPr>
          <w:noProof/>
          <w:sz w:val="26"/>
          <w:szCs w:val="26"/>
        </w:rPr>
      </w:pPr>
      <w:hyperlink w:anchor="_Toc275264779" w:history="1">
        <w:r w:rsidRPr="00DA553E">
          <w:rPr>
            <w:rStyle w:val="Hypertextovodkaz"/>
            <w:rFonts w:ascii="Arial" w:hAnsi="Arial" w:cs="Arial"/>
            <w:noProof/>
            <w:sz w:val="26"/>
            <w:szCs w:val="26"/>
          </w:rPr>
          <w:t>Obsah:</w:t>
        </w:r>
        <w:r w:rsidRPr="00DA553E">
          <w:rPr>
            <w:noProof/>
            <w:webHidden/>
            <w:sz w:val="26"/>
            <w:szCs w:val="26"/>
          </w:rPr>
          <w:tab/>
        </w:r>
        <w:r w:rsidRPr="00DA553E">
          <w:rPr>
            <w:noProof/>
            <w:webHidden/>
            <w:sz w:val="26"/>
            <w:szCs w:val="26"/>
          </w:rPr>
          <w:fldChar w:fldCharType="begin"/>
        </w:r>
        <w:r w:rsidRPr="00DA553E">
          <w:rPr>
            <w:noProof/>
            <w:webHidden/>
            <w:sz w:val="26"/>
            <w:szCs w:val="26"/>
          </w:rPr>
          <w:instrText xml:space="preserve"> PAGEREF _Toc275264779 \h </w:instrText>
        </w:r>
        <w:r w:rsidR="00F16E84" w:rsidRPr="00DA553E">
          <w:rPr>
            <w:noProof/>
            <w:sz w:val="26"/>
            <w:szCs w:val="26"/>
          </w:rPr>
        </w:r>
        <w:r w:rsidRPr="00DA553E">
          <w:rPr>
            <w:noProof/>
            <w:webHidden/>
            <w:sz w:val="26"/>
            <w:szCs w:val="26"/>
          </w:rPr>
          <w:fldChar w:fldCharType="separate"/>
        </w:r>
        <w:r w:rsidRPr="00DA553E">
          <w:rPr>
            <w:noProof/>
            <w:webHidden/>
            <w:sz w:val="26"/>
            <w:szCs w:val="26"/>
          </w:rPr>
          <w:t>2</w:t>
        </w:r>
        <w:r w:rsidRPr="00DA553E">
          <w:rPr>
            <w:noProof/>
            <w:webHidden/>
            <w:sz w:val="26"/>
            <w:szCs w:val="26"/>
          </w:rPr>
          <w:fldChar w:fldCharType="end"/>
        </w:r>
      </w:hyperlink>
    </w:p>
    <w:p w:rsidR="00C67930" w:rsidRPr="00DA553E" w:rsidRDefault="00C67930" w:rsidP="00DA553E">
      <w:pPr>
        <w:pStyle w:val="Obsah1"/>
        <w:tabs>
          <w:tab w:val="left" w:pos="480"/>
          <w:tab w:val="right" w:leader="dot" w:pos="9062"/>
        </w:tabs>
        <w:spacing w:line="360" w:lineRule="auto"/>
        <w:rPr>
          <w:noProof/>
          <w:sz w:val="26"/>
          <w:szCs w:val="26"/>
        </w:rPr>
      </w:pPr>
      <w:hyperlink w:anchor="_Toc275264780" w:history="1">
        <w:r w:rsidRPr="00DA553E">
          <w:rPr>
            <w:rStyle w:val="Hypertextovodkaz"/>
            <w:rFonts w:ascii="Arial" w:hAnsi="Arial"/>
            <w:noProof/>
            <w:sz w:val="26"/>
            <w:szCs w:val="26"/>
          </w:rPr>
          <w:t>1.</w:t>
        </w:r>
        <w:r w:rsidRPr="00DA553E">
          <w:rPr>
            <w:noProof/>
            <w:sz w:val="26"/>
            <w:szCs w:val="26"/>
          </w:rPr>
          <w:tab/>
        </w:r>
        <w:r w:rsidRPr="00DA553E">
          <w:rPr>
            <w:rStyle w:val="Hypertextovodkaz"/>
            <w:rFonts w:ascii="Arial" w:hAnsi="Arial"/>
            <w:noProof/>
            <w:sz w:val="26"/>
            <w:szCs w:val="26"/>
          </w:rPr>
          <w:t>Úvod</w:t>
        </w:r>
        <w:r w:rsidRPr="00DA553E">
          <w:rPr>
            <w:noProof/>
            <w:webHidden/>
            <w:sz w:val="26"/>
            <w:szCs w:val="26"/>
          </w:rPr>
          <w:tab/>
        </w:r>
        <w:r w:rsidRPr="00DA553E">
          <w:rPr>
            <w:noProof/>
            <w:webHidden/>
            <w:sz w:val="26"/>
            <w:szCs w:val="26"/>
          </w:rPr>
          <w:fldChar w:fldCharType="begin"/>
        </w:r>
        <w:r w:rsidRPr="00DA553E">
          <w:rPr>
            <w:noProof/>
            <w:webHidden/>
            <w:sz w:val="26"/>
            <w:szCs w:val="26"/>
          </w:rPr>
          <w:instrText xml:space="preserve"> PAGEREF _Toc275264780 \h </w:instrText>
        </w:r>
        <w:r w:rsidR="00F16E84" w:rsidRPr="00DA553E">
          <w:rPr>
            <w:noProof/>
            <w:sz w:val="26"/>
            <w:szCs w:val="26"/>
          </w:rPr>
        </w:r>
        <w:r w:rsidRPr="00DA553E">
          <w:rPr>
            <w:noProof/>
            <w:webHidden/>
            <w:sz w:val="26"/>
            <w:szCs w:val="26"/>
          </w:rPr>
          <w:fldChar w:fldCharType="separate"/>
        </w:r>
        <w:r w:rsidRPr="00DA553E">
          <w:rPr>
            <w:noProof/>
            <w:webHidden/>
            <w:sz w:val="26"/>
            <w:szCs w:val="26"/>
          </w:rPr>
          <w:t>3</w:t>
        </w:r>
        <w:r w:rsidRPr="00DA553E">
          <w:rPr>
            <w:noProof/>
            <w:webHidden/>
            <w:sz w:val="26"/>
            <w:szCs w:val="26"/>
          </w:rPr>
          <w:fldChar w:fldCharType="end"/>
        </w:r>
      </w:hyperlink>
    </w:p>
    <w:p w:rsidR="00C67930" w:rsidRPr="00DA553E" w:rsidRDefault="00C67930" w:rsidP="00DA553E">
      <w:pPr>
        <w:pStyle w:val="Obsah1"/>
        <w:tabs>
          <w:tab w:val="left" w:pos="480"/>
          <w:tab w:val="right" w:leader="dot" w:pos="9062"/>
        </w:tabs>
        <w:spacing w:line="360" w:lineRule="auto"/>
        <w:rPr>
          <w:noProof/>
          <w:sz w:val="26"/>
          <w:szCs w:val="26"/>
        </w:rPr>
      </w:pPr>
      <w:hyperlink w:anchor="_Toc275264781" w:history="1">
        <w:r w:rsidRPr="00DA553E">
          <w:rPr>
            <w:rStyle w:val="Hypertextovodkaz"/>
            <w:rFonts w:ascii="Arial" w:hAnsi="Arial"/>
            <w:noProof/>
            <w:sz w:val="26"/>
            <w:szCs w:val="26"/>
          </w:rPr>
          <w:t>2.</w:t>
        </w:r>
        <w:r w:rsidRPr="00DA553E">
          <w:rPr>
            <w:noProof/>
            <w:sz w:val="26"/>
            <w:szCs w:val="26"/>
          </w:rPr>
          <w:tab/>
        </w:r>
        <w:r w:rsidRPr="00DA553E">
          <w:rPr>
            <w:rStyle w:val="Hypertextovodkaz"/>
            <w:rFonts w:ascii="Arial" w:hAnsi="Arial"/>
            <w:noProof/>
            <w:sz w:val="26"/>
            <w:szCs w:val="26"/>
          </w:rPr>
          <w:t>Czechtek 2005</w:t>
        </w:r>
        <w:r w:rsidRPr="00DA553E">
          <w:rPr>
            <w:noProof/>
            <w:webHidden/>
            <w:sz w:val="26"/>
            <w:szCs w:val="26"/>
          </w:rPr>
          <w:tab/>
        </w:r>
        <w:r w:rsidRPr="00DA553E">
          <w:rPr>
            <w:noProof/>
            <w:webHidden/>
            <w:sz w:val="26"/>
            <w:szCs w:val="26"/>
          </w:rPr>
          <w:fldChar w:fldCharType="begin"/>
        </w:r>
        <w:r w:rsidRPr="00DA553E">
          <w:rPr>
            <w:noProof/>
            <w:webHidden/>
            <w:sz w:val="26"/>
            <w:szCs w:val="26"/>
          </w:rPr>
          <w:instrText xml:space="preserve"> PAGEREF _Toc275264781 \h </w:instrText>
        </w:r>
        <w:r w:rsidR="00F16E84" w:rsidRPr="00DA553E">
          <w:rPr>
            <w:noProof/>
            <w:sz w:val="26"/>
            <w:szCs w:val="26"/>
          </w:rPr>
        </w:r>
        <w:r w:rsidRPr="00DA553E">
          <w:rPr>
            <w:noProof/>
            <w:webHidden/>
            <w:sz w:val="26"/>
            <w:szCs w:val="26"/>
          </w:rPr>
          <w:fldChar w:fldCharType="separate"/>
        </w:r>
        <w:r w:rsidRPr="00DA553E">
          <w:rPr>
            <w:noProof/>
            <w:webHidden/>
            <w:sz w:val="26"/>
            <w:szCs w:val="26"/>
          </w:rPr>
          <w:t>3</w:t>
        </w:r>
        <w:r w:rsidRPr="00DA553E">
          <w:rPr>
            <w:noProof/>
            <w:webHidden/>
            <w:sz w:val="26"/>
            <w:szCs w:val="26"/>
          </w:rPr>
          <w:fldChar w:fldCharType="end"/>
        </w:r>
      </w:hyperlink>
    </w:p>
    <w:p w:rsidR="00C67930" w:rsidRPr="00DA553E" w:rsidRDefault="00C67930" w:rsidP="00DA553E">
      <w:pPr>
        <w:pStyle w:val="Obsah1"/>
        <w:tabs>
          <w:tab w:val="left" w:pos="480"/>
          <w:tab w:val="right" w:leader="dot" w:pos="9062"/>
        </w:tabs>
        <w:spacing w:line="360" w:lineRule="auto"/>
        <w:rPr>
          <w:noProof/>
          <w:sz w:val="26"/>
          <w:szCs w:val="26"/>
        </w:rPr>
      </w:pPr>
      <w:hyperlink w:anchor="_Toc275264782" w:history="1">
        <w:r w:rsidRPr="00DA553E">
          <w:rPr>
            <w:rStyle w:val="Hypertextovodkaz"/>
            <w:rFonts w:ascii="Arial" w:hAnsi="Arial"/>
            <w:noProof/>
            <w:sz w:val="26"/>
            <w:szCs w:val="26"/>
          </w:rPr>
          <w:t>3.</w:t>
        </w:r>
        <w:r w:rsidRPr="00DA553E">
          <w:rPr>
            <w:noProof/>
            <w:sz w:val="26"/>
            <w:szCs w:val="26"/>
          </w:rPr>
          <w:tab/>
        </w:r>
        <w:r w:rsidRPr="00DA553E">
          <w:rPr>
            <w:rStyle w:val="Hypertextovodkaz"/>
            <w:rFonts w:ascii="Arial" w:hAnsi="Arial"/>
            <w:noProof/>
            <w:sz w:val="26"/>
            <w:szCs w:val="26"/>
          </w:rPr>
          <w:t>Opatření přijatá po Czechteku 2005</w:t>
        </w:r>
        <w:r w:rsidRPr="00DA553E">
          <w:rPr>
            <w:noProof/>
            <w:webHidden/>
            <w:sz w:val="26"/>
            <w:szCs w:val="26"/>
          </w:rPr>
          <w:tab/>
        </w:r>
        <w:r w:rsidRPr="00DA553E">
          <w:rPr>
            <w:noProof/>
            <w:webHidden/>
            <w:sz w:val="26"/>
            <w:szCs w:val="26"/>
          </w:rPr>
          <w:fldChar w:fldCharType="begin"/>
        </w:r>
        <w:r w:rsidRPr="00DA553E">
          <w:rPr>
            <w:noProof/>
            <w:webHidden/>
            <w:sz w:val="26"/>
            <w:szCs w:val="26"/>
          </w:rPr>
          <w:instrText xml:space="preserve"> PAGEREF _Toc275264782 \h </w:instrText>
        </w:r>
        <w:r w:rsidR="00F16E84" w:rsidRPr="00DA553E">
          <w:rPr>
            <w:noProof/>
            <w:sz w:val="26"/>
            <w:szCs w:val="26"/>
          </w:rPr>
        </w:r>
        <w:r w:rsidRPr="00DA553E">
          <w:rPr>
            <w:noProof/>
            <w:webHidden/>
            <w:sz w:val="26"/>
            <w:szCs w:val="26"/>
          </w:rPr>
          <w:fldChar w:fldCharType="separate"/>
        </w:r>
        <w:r w:rsidRPr="00DA553E">
          <w:rPr>
            <w:noProof/>
            <w:webHidden/>
            <w:sz w:val="26"/>
            <w:szCs w:val="26"/>
          </w:rPr>
          <w:t>4</w:t>
        </w:r>
        <w:r w:rsidRPr="00DA553E">
          <w:rPr>
            <w:noProof/>
            <w:webHidden/>
            <w:sz w:val="26"/>
            <w:szCs w:val="26"/>
          </w:rPr>
          <w:fldChar w:fldCharType="end"/>
        </w:r>
      </w:hyperlink>
    </w:p>
    <w:p w:rsidR="00C67930" w:rsidRPr="00DA553E" w:rsidRDefault="00C67930" w:rsidP="00DA553E">
      <w:pPr>
        <w:pStyle w:val="Obsah1"/>
        <w:tabs>
          <w:tab w:val="left" w:pos="480"/>
          <w:tab w:val="right" w:leader="dot" w:pos="9062"/>
        </w:tabs>
        <w:spacing w:line="360" w:lineRule="auto"/>
        <w:rPr>
          <w:noProof/>
          <w:sz w:val="26"/>
          <w:szCs w:val="26"/>
        </w:rPr>
      </w:pPr>
      <w:hyperlink w:anchor="_Toc275264783" w:history="1">
        <w:r w:rsidRPr="00DA553E">
          <w:rPr>
            <w:rStyle w:val="Hypertextovodkaz"/>
            <w:rFonts w:ascii="Arial" w:hAnsi="Arial"/>
            <w:noProof/>
            <w:sz w:val="26"/>
            <w:szCs w:val="26"/>
          </w:rPr>
          <w:t>4.</w:t>
        </w:r>
        <w:r w:rsidRPr="00DA553E">
          <w:rPr>
            <w:noProof/>
            <w:sz w:val="26"/>
            <w:szCs w:val="26"/>
          </w:rPr>
          <w:tab/>
        </w:r>
        <w:r w:rsidRPr="00DA553E">
          <w:rPr>
            <w:rStyle w:val="Hypertextovodkaz"/>
            <w:rFonts w:ascii="Arial" w:hAnsi="Arial"/>
            <w:noProof/>
            <w:sz w:val="26"/>
            <w:szCs w:val="26"/>
          </w:rPr>
          <w:t>Příprava na mimořádnou událost</w:t>
        </w:r>
        <w:r w:rsidRPr="00DA553E">
          <w:rPr>
            <w:noProof/>
            <w:webHidden/>
            <w:sz w:val="26"/>
            <w:szCs w:val="26"/>
          </w:rPr>
          <w:tab/>
        </w:r>
        <w:r w:rsidRPr="00DA553E">
          <w:rPr>
            <w:noProof/>
            <w:webHidden/>
            <w:sz w:val="26"/>
            <w:szCs w:val="26"/>
          </w:rPr>
          <w:fldChar w:fldCharType="begin"/>
        </w:r>
        <w:r w:rsidRPr="00DA553E">
          <w:rPr>
            <w:noProof/>
            <w:webHidden/>
            <w:sz w:val="26"/>
            <w:szCs w:val="26"/>
          </w:rPr>
          <w:instrText xml:space="preserve"> PAGEREF _Toc275264783 \h </w:instrText>
        </w:r>
        <w:r w:rsidR="00F16E84" w:rsidRPr="00DA553E">
          <w:rPr>
            <w:noProof/>
            <w:sz w:val="26"/>
            <w:szCs w:val="26"/>
          </w:rPr>
        </w:r>
        <w:r w:rsidRPr="00DA553E">
          <w:rPr>
            <w:noProof/>
            <w:webHidden/>
            <w:sz w:val="26"/>
            <w:szCs w:val="26"/>
          </w:rPr>
          <w:fldChar w:fldCharType="separate"/>
        </w:r>
        <w:r w:rsidRPr="00DA553E">
          <w:rPr>
            <w:noProof/>
            <w:webHidden/>
            <w:sz w:val="26"/>
            <w:szCs w:val="26"/>
          </w:rPr>
          <w:t>5</w:t>
        </w:r>
        <w:r w:rsidRPr="00DA553E">
          <w:rPr>
            <w:noProof/>
            <w:webHidden/>
            <w:sz w:val="26"/>
            <w:szCs w:val="26"/>
          </w:rPr>
          <w:fldChar w:fldCharType="end"/>
        </w:r>
      </w:hyperlink>
    </w:p>
    <w:p w:rsidR="00C67930" w:rsidRPr="00DA553E" w:rsidRDefault="00C67930" w:rsidP="00DA553E">
      <w:pPr>
        <w:pStyle w:val="Obsah1"/>
        <w:tabs>
          <w:tab w:val="left" w:pos="480"/>
          <w:tab w:val="right" w:leader="dot" w:pos="9062"/>
        </w:tabs>
        <w:spacing w:line="360" w:lineRule="auto"/>
        <w:rPr>
          <w:noProof/>
          <w:sz w:val="26"/>
          <w:szCs w:val="26"/>
        </w:rPr>
      </w:pPr>
      <w:hyperlink w:anchor="_Toc275264784" w:history="1">
        <w:r w:rsidRPr="00DA553E">
          <w:rPr>
            <w:rStyle w:val="Hypertextovodkaz"/>
            <w:rFonts w:ascii="Arial" w:hAnsi="Arial"/>
            <w:noProof/>
            <w:sz w:val="26"/>
            <w:szCs w:val="26"/>
          </w:rPr>
          <w:t>5.</w:t>
        </w:r>
        <w:r w:rsidRPr="00DA553E">
          <w:rPr>
            <w:noProof/>
            <w:sz w:val="26"/>
            <w:szCs w:val="26"/>
          </w:rPr>
          <w:tab/>
        </w:r>
        <w:r w:rsidRPr="00DA553E">
          <w:rPr>
            <w:rStyle w:val="Hypertextovodkaz"/>
            <w:rFonts w:ascii="Arial" w:hAnsi="Arial"/>
            <w:noProof/>
            <w:sz w:val="26"/>
            <w:szCs w:val="26"/>
          </w:rPr>
          <w:t>Typová činnost složek IZS při společném zásahu</w:t>
        </w:r>
        <w:r w:rsidRPr="00DA553E">
          <w:rPr>
            <w:noProof/>
            <w:webHidden/>
            <w:sz w:val="26"/>
            <w:szCs w:val="26"/>
          </w:rPr>
          <w:tab/>
        </w:r>
        <w:r w:rsidRPr="00DA553E">
          <w:rPr>
            <w:noProof/>
            <w:webHidden/>
            <w:sz w:val="26"/>
            <w:szCs w:val="26"/>
          </w:rPr>
          <w:fldChar w:fldCharType="begin"/>
        </w:r>
        <w:r w:rsidRPr="00DA553E">
          <w:rPr>
            <w:noProof/>
            <w:webHidden/>
            <w:sz w:val="26"/>
            <w:szCs w:val="26"/>
          </w:rPr>
          <w:instrText xml:space="preserve"> PAGEREF _Toc275264784 \h </w:instrText>
        </w:r>
        <w:r w:rsidR="00F16E84" w:rsidRPr="00DA553E">
          <w:rPr>
            <w:noProof/>
            <w:sz w:val="26"/>
            <w:szCs w:val="26"/>
          </w:rPr>
        </w:r>
        <w:r w:rsidRPr="00DA553E">
          <w:rPr>
            <w:noProof/>
            <w:webHidden/>
            <w:sz w:val="26"/>
            <w:szCs w:val="26"/>
          </w:rPr>
          <w:fldChar w:fldCharType="separate"/>
        </w:r>
        <w:r w:rsidRPr="00DA553E">
          <w:rPr>
            <w:noProof/>
            <w:webHidden/>
            <w:sz w:val="26"/>
            <w:szCs w:val="26"/>
          </w:rPr>
          <w:t>6</w:t>
        </w:r>
        <w:r w:rsidRPr="00DA553E">
          <w:rPr>
            <w:noProof/>
            <w:webHidden/>
            <w:sz w:val="26"/>
            <w:szCs w:val="26"/>
          </w:rPr>
          <w:fldChar w:fldCharType="end"/>
        </w:r>
      </w:hyperlink>
    </w:p>
    <w:p w:rsidR="00C67930" w:rsidRPr="00DA553E" w:rsidRDefault="00C67930" w:rsidP="00DA553E">
      <w:pPr>
        <w:pStyle w:val="Obsah1"/>
        <w:tabs>
          <w:tab w:val="left" w:pos="480"/>
          <w:tab w:val="right" w:leader="dot" w:pos="9062"/>
        </w:tabs>
        <w:spacing w:line="360" w:lineRule="auto"/>
        <w:rPr>
          <w:noProof/>
          <w:sz w:val="26"/>
          <w:szCs w:val="26"/>
        </w:rPr>
      </w:pPr>
      <w:hyperlink w:anchor="_Toc275264785" w:history="1">
        <w:r w:rsidRPr="00DA553E">
          <w:rPr>
            <w:rStyle w:val="Hypertextovodkaz"/>
            <w:rFonts w:ascii="Arial" w:hAnsi="Arial"/>
            <w:noProof/>
            <w:sz w:val="26"/>
            <w:szCs w:val="26"/>
          </w:rPr>
          <w:t>6.</w:t>
        </w:r>
        <w:r w:rsidRPr="00DA553E">
          <w:rPr>
            <w:noProof/>
            <w:sz w:val="26"/>
            <w:szCs w:val="26"/>
          </w:rPr>
          <w:tab/>
        </w:r>
        <w:r w:rsidRPr="00DA553E">
          <w:rPr>
            <w:rStyle w:val="Hypertextovodkaz"/>
            <w:rFonts w:ascii="Arial" w:hAnsi="Arial"/>
            <w:noProof/>
            <w:sz w:val="26"/>
            <w:szCs w:val="26"/>
          </w:rPr>
          <w:t>Závěr</w:t>
        </w:r>
        <w:r w:rsidRPr="00DA553E">
          <w:rPr>
            <w:noProof/>
            <w:webHidden/>
            <w:sz w:val="26"/>
            <w:szCs w:val="26"/>
          </w:rPr>
          <w:tab/>
        </w:r>
        <w:r w:rsidRPr="00DA553E">
          <w:rPr>
            <w:noProof/>
            <w:webHidden/>
            <w:sz w:val="26"/>
            <w:szCs w:val="26"/>
          </w:rPr>
          <w:fldChar w:fldCharType="begin"/>
        </w:r>
        <w:r w:rsidRPr="00DA553E">
          <w:rPr>
            <w:noProof/>
            <w:webHidden/>
            <w:sz w:val="26"/>
            <w:szCs w:val="26"/>
          </w:rPr>
          <w:instrText xml:space="preserve"> PAGEREF _Toc275264785 \h </w:instrText>
        </w:r>
        <w:r w:rsidR="00F16E84" w:rsidRPr="00DA553E">
          <w:rPr>
            <w:noProof/>
            <w:sz w:val="26"/>
            <w:szCs w:val="26"/>
          </w:rPr>
        </w:r>
        <w:r w:rsidRPr="00DA553E">
          <w:rPr>
            <w:noProof/>
            <w:webHidden/>
            <w:sz w:val="26"/>
            <w:szCs w:val="26"/>
          </w:rPr>
          <w:fldChar w:fldCharType="separate"/>
        </w:r>
        <w:r w:rsidRPr="00DA553E">
          <w:rPr>
            <w:noProof/>
            <w:webHidden/>
            <w:sz w:val="26"/>
            <w:szCs w:val="26"/>
          </w:rPr>
          <w:t>7</w:t>
        </w:r>
        <w:r w:rsidRPr="00DA553E">
          <w:rPr>
            <w:noProof/>
            <w:webHidden/>
            <w:sz w:val="26"/>
            <w:szCs w:val="26"/>
          </w:rPr>
          <w:fldChar w:fldCharType="end"/>
        </w:r>
      </w:hyperlink>
    </w:p>
    <w:p w:rsidR="00C67930" w:rsidRPr="00DA553E" w:rsidRDefault="00C67930" w:rsidP="00DA553E">
      <w:pPr>
        <w:pStyle w:val="Obsah1"/>
        <w:tabs>
          <w:tab w:val="left" w:pos="480"/>
          <w:tab w:val="right" w:leader="dot" w:pos="9062"/>
        </w:tabs>
        <w:spacing w:line="360" w:lineRule="auto"/>
        <w:rPr>
          <w:noProof/>
          <w:sz w:val="26"/>
          <w:szCs w:val="26"/>
        </w:rPr>
      </w:pPr>
      <w:hyperlink w:anchor="_Toc275264786" w:history="1">
        <w:r w:rsidRPr="00DA553E">
          <w:rPr>
            <w:rStyle w:val="Hypertextovodkaz"/>
            <w:rFonts w:ascii="Arial" w:hAnsi="Arial"/>
            <w:noProof/>
            <w:sz w:val="26"/>
            <w:szCs w:val="26"/>
          </w:rPr>
          <w:t>7.</w:t>
        </w:r>
        <w:r w:rsidRPr="00DA553E">
          <w:rPr>
            <w:noProof/>
            <w:sz w:val="26"/>
            <w:szCs w:val="26"/>
          </w:rPr>
          <w:tab/>
        </w:r>
        <w:r w:rsidRPr="00DA553E">
          <w:rPr>
            <w:rStyle w:val="Hypertextovodkaz"/>
            <w:rFonts w:ascii="Arial" w:hAnsi="Arial"/>
            <w:noProof/>
            <w:sz w:val="26"/>
            <w:szCs w:val="26"/>
          </w:rPr>
          <w:t>Použitá literatura</w:t>
        </w:r>
        <w:r w:rsidRPr="00DA553E">
          <w:rPr>
            <w:noProof/>
            <w:webHidden/>
            <w:sz w:val="26"/>
            <w:szCs w:val="26"/>
          </w:rPr>
          <w:tab/>
        </w:r>
        <w:r w:rsidRPr="00DA553E">
          <w:rPr>
            <w:noProof/>
            <w:webHidden/>
            <w:sz w:val="26"/>
            <w:szCs w:val="26"/>
          </w:rPr>
          <w:fldChar w:fldCharType="begin"/>
        </w:r>
        <w:r w:rsidRPr="00DA553E">
          <w:rPr>
            <w:noProof/>
            <w:webHidden/>
            <w:sz w:val="26"/>
            <w:szCs w:val="26"/>
          </w:rPr>
          <w:instrText xml:space="preserve"> PAGEREF _Toc275264786 \h </w:instrText>
        </w:r>
        <w:r w:rsidR="00F16E84" w:rsidRPr="00DA553E">
          <w:rPr>
            <w:noProof/>
            <w:sz w:val="26"/>
            <w:szCs w:val="26"/>
          </w:rPr>
        </w:r>
        <w:r w:rsidRPr="00DA553E">
          <w:rPr>
            <w:noProof/>
            <w:webHidden/>
            <w:sz w:val="26"/>
            <w:szCs w:val="26"/>
          </w:rPr>
          <w:fldChar w:fldCharType="separate"/>
        </w:r>
        <w:r w:rsidRPr="00DA553E">
          <w:rPr>
            <w:noProof/>
            <w:webHidden/>
            <w:sz w:val="26"/>
            <w:szCs w:val="26"/>
          </w:rPr>
          <w:t>8</w:t>
        </w:r>
        <w:r w:rsidRPr="00DA553E">
          <w:rPr>
            <w:noProof/>
            <w:webHidden/>
            <w:sz w:val="26"/>
            <w:szCs w:val="26"/>
          </w:rPr>
          <w:fldChar w:fldCharType="end"/>
        </w:r>
      </w:hyperlink>
    </w:p>
    <w:p w:rsidR="00777C25" w:rsidRDefault="00C67930" w:rsidP="00DA553E">
      <w:pPr>
        <w:pStyle w:val="Nadpis2"/>
        <w:spacing w:line="360" w:lineRule="auto"/>
        <w:rPr>
          <w:rFonts w:ascii="Arial" w:hAnsi="Arial" w:cs="Arial"/>
          <w:sz w:val="26"/>
          <w:szCs w:val="26"/>
        </w:rPr>
      </w:pPr>
      <w:r w:rsidRPr="00DA553E">
        <w:rPr>
          <w:rFonts w:ascii="Arial" w:hAnsi="Arial" w:cs="Arial"/>
          <w:sz w:val="26"/>
          <w:szCs w:val="26"/>
        </w:rPr>
        <w:fldChar w:fldCharType="end"/>
      </w:r>
    </w:p>
    <w:p w:rsidR="00777C25" w:rsidRDefault="00777C25" w:rsidP="00777C25">
      <w:pPr>
        <w:ind w:left="360"/>
        <w:rPr>
          <w:rFonts w:ascii="Arial" w:hAnsi="Arial" w:cs="Arial"/>
          <w:sz w:val="26"/>
          <w:szCs w:val="26"/>
        </w:rPr>
      </w:pPr>
    </w:p>
    <w:p w:rsidR="00777C25" w:rsidRDefault="00777C25" w:rsidP="00777C25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Anotace:</w:t>
      </w:r>
    </w:p>
    <w:p w:rsidR="00777C25" w:rsidRDefault="00777C25" w:rsidP="00777C25">
      <w:pPr>
        <w:ind w:left="360"/>
        <w:rPr>
          <w:rFonts w:ascii="Arial" w:hAnsi="Arial" w:cs="Arial"/>
          <w:sz w:val="26"/>
          <w:szCs w:val="26"/>
        </w:rPr>
      </w:pPr>
    </w:p>
    <w:p w:rsidR="00777C25" w:rsidRDefault="005C5C81" w:rsidP="005C5C81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5C5C81">
        <w:rPr>
          <w:rFonts w:ascii="Arial" w:hAnsi="Arial" w:cs="Arial"/>
          <w:sz w:val="26"/>
          <w:szCs w:val="26"/>
        </w:rPr>
        <w:t>Český právní řád pojem „technopárty“ či „akce typu</w:t>
      </w:r>
      <w:r>
        <w:rPr>
          <w:rFonts w:ascii="Arial" w:hAnsi="Arial" w:cs="Arial"/>
          <w:sz w:val="26"/>
          <w:szCs w:val="26"/>
        </w:rPr>
        <w:t xml:space="preserve"> </w:t>
      </w:r>
      <w:r w:rsidRPr="005C5C81">
        <w:rPr>
          <w:rFonts w:ascii="Arial" w:hAnsi="Arial" w:cs="Arial"/>
          <w:sz w:val="26"/>
          <w:szCs w:val="26"/>
        </w:rPr>
        <w:t>technopárty“ neobsahuje“ a pokouší se jej vymezit jako „shromáždění s</w:t>
      </w:r>
      <w:r>
        <w:rPr>
          <w:rFonts w:ascii="Arial" w:hAnsi="Arial" w:cs="Arial"/>
          <w:sz w:val="26"/>
          <w:szCs w:val="26"/>
        </w:rPr>
        <w:t> </w:t>
      </w:r>
      <w:r w:rsidRPr="005C5C81">
        <w:rPr>
          <w:rFonts w:ascii="Arial" w:hAnsi="Arial" w:cs="Arial"/>
          <w:sz w:val="26"/>
          <w:szCs w:val="26"/>
        </w:rPr>
        <w:t>předpokládanou</w:t>
      </w:r>
      <w:r>
        <w:rPr>
          <w:rFonts w:ascii="Arial" w:hAnsi="Arial" w:cs="Arial"/>
          <w:sz w:val="26"/>
          <w:szCs w:val="26"/>
        </w:rPr>
        <w:t xml:space="preserve"> </w:t>
      </w:r>
      <w:r w:rsidRPr="005C5C81">
        <w:rPr>
          <w:rFonts w:ascii="Arial" w:hAnsi="Arial" w:cs="Arial"/>
          <w:sz w:val="26"/>
          <w:szCs w:val="26"/>
        </w:rPr>
        <w:t>účastí nejméně 250 osob, které od svého zahájení do svého ukončení, včetně přestávek a</w:t>
      </w:r>
      <w:r>
        <w:rPr>
          <w:rFonts w:ascii="Arial" w:hAnsi="Arial" w:cs="Arial"/>
          <w:sz w:val="26"/>
          <w:szCs w:val="26"/>
        </w:rPr>
        <w:t xml:space="preserve"> </w:t>
      </w:r>
      <w:r w:rsidRPr="005C5C81">
        <w:rPr>
          <w:rFonts w:ascii="Arial" w:hAnsi="Arial" w:cs="Arial"/>
          <w:sz w:val="26"/>
          <w:szCs w:val="26"/>
        </w:rPr>
        <w:t>přerušení, přesáhne dobu jednoho dne, a při kterém může docházet k obtěžování jiných</w:t>
      </w:r>
      <w:r>
        <w:rPr>
          <w:rFonts w:ascii="Arial" w:hAnsi="Arial" w:cs="Arial"/>
          <w:sz w:val="26"/>
          <w:szCs w:val="26"/>
        </w:rPr>
        <w:t xml:space="preserve"> </w:t>
      </w:r>
      <w:r w:rsidRPr="005C5C81">
        <w:rPr>
          <w:rFonts w:ascii="Arial" w:hAnsi="Arial" w:cs="Arial"/>
          <w:sz w:val="26"/>
          <w:szCs w:val="26"/>
        </w:rPr>
        <w:t>osob nad míru přiměřenou poměrům zejména hlukem, prachem, světlem nebo vibracemi,</w:t>
      </w:r>
      <w:r>
        <w:rPr>
          <w:rFonts w:ascii="Arial" w:hAnsi="Arial" w:cs="Arial"/>
          <w:sz w:val="26"/>
          <w:szCs w:val="26"/>
        </w:rPr>
        <w:t xml:space="preserve"> </w:t>
      </w:r>
      <w:r w:rsidRPr="005C5C81">
        <w:rPr>
          <w:rFonts w:ascii="Arial" w:hAnsi="Arial" w:cs="Arial"/>
          <w:sz w:val="26"/>
          <w:szCs w:val="26"/>
        </w:rPr>
        <w:t>pokud takové shromáždění není upraveno zvláštními právními předpisy (např. zákonem č.</w:t>
      </w:r>
      <w:r>
        <w:rPr>
          <w:rFonts w:ascii="Arial" w:hAnsi="Arial" w:cs="Arial"/>
          <w:sz w:val="26"/>
          <w:szCs w:val="26"/>
        </w:rPr>
        <w:t xml:space="preserve"> </w:t>
      </w:r>
      <w:r w:rsidR="005B3CE6">
        <w:rPr>
          <w:rFonts w:ascii="Arial" w:hAnsi="Arial" w:cs="Arial"/>
          <w:sz w:val="26"/>
          <w:szCs w:val="26"/>
        </w:rPr>
        <w:t>84/1990 Sb., </w:t>
      </w:r>
      <w:r w:rsidR="005B3CE6">
        <w:rPr>
          <w:rFonts w:ascii="Arial" w:hAnsi="Arial" w:cs="Arial"/>
          <w:sz w:val="26"/>
          <w:szCs w:val="26"/>
        </w:rPr>
        <w:br/>
      </w:r>
      <w:r w:rsidRPr="005C5C81">
        <w:rPr>
          <w:rFonts w:ascii="Arial" w:hAnsi="Arial" w:cs="Arial"/>
          <w:sz w:val="26"/>
          <w:szCs w:val="26"/>
        </w:rPr>
        <w:t>o</w:t>
      </w:r>
      <w:r w:rsidR="005B3CE6">
        <w:rPr>
          <w:rFonts w:ascii="Arial" w:hAnsi="Arial" w:cs="Arial"/>
          <w:sz w:val="26"/>
          <w:szCs w:val="26"/>
        </w:rPr>
        <w:t xml:space="preserve"> </w:t>
      </w:r>
      <w:r w:rsidRPr="005C5C81">
        <w:rPr>
          <w:rFonts w:ascii="Arial" w:hAnsi="Arial" w:cs="Arial"/>
          <w:sz w:val="26"/>
          <w:szCs w:val="26"/>
        </w:rPr>
        <w:t>právu shromažďovacím“. Tato definice technop</w:t>
      </w:r>
      <w:r w:rsidR="005A40D6">
        <w:rPr>
          <w:rFonts w:ascii="Arial" w:hAnsi="Arial" w:cs="Arial"/>
          <w:sz w:val="26"/>
          <w:szCs w:val="26"/>
        </w:rPr>
        <w:t>á</w:t>
      </w:r>
      <w:r w:rsidRPr="005C5C81">
        <w:rPr>
          <w:rFonts w:ascii="Arial" w:hAnsi="Arial" w:cs="Arial"/>
          <w:sz w:val="26"/>
          <w:szCs w:val="26"/>
        </w:rPr>
        <w:t xml:space="preserve">rty je dále doplněna </w:t>
      </w:r>
      <w:r w:rsidR="005B3CE6">
        <w:rPr>
          <w:rFonts w:ascii="Arial" w:hAnsi="Arial" w:cs="Arial"/>
          <w:sz w:val="26"/>
          <w:szCs w:val="26"/>
        </w:rPr>
        <w:br/>
      </w:r>
      <w:r w:rsidRPr="005C5C81">
        <w:rPr>
          <w:rFonts w:ascii="Arial" w:hAnsi="Arial" w:cs="Arial"/>
          <w:sz w:val="26"/>
          <w:szCs w:val="26"/>
        </w:rPr>
        <w:t>o</w:t>
      </w:r>
      <w:r w:rsidR="005B3CE6">
        <w:rPr>
          <w:rFonts w:ascii="Arial" w:hAnsi="Arial" w:cs="Arial"/>
          <w:sz w:val="26"/>
          <w:szCs w:val="26"/>
        </w:rPr>
        <w:t xml:space="preserve"> c</w:t>
      </w:r>
      <w:r w:rsidRPr="005C5C81">
        <w:rPr>
          <w:rFonts w:ascii="Arial" w:hAnsi="Arial" w:cs="Arial"/>
          <w:sz w:val="26"/>
          <w:szCs w:val="26"/>
        </w:rPr>
        <w:t>harakteristiku základních rizik s technop</w:t>
      </w:r>
      <w:r w:rsidR="005A40D6">
        <w:rPr>
          <w:rFonts w:ascii="Arial" w:hAnsi="Arial" w:cs="Arial"/>
          <w:sz w:val="26"/>
          <w:szCs w:val="26"/>
        </w:rPr>
        <w:t>á</w:t>
      </w:r>
      <w:r w:rsidRPr="005C5C81">
        <w:rPr>
          <w:rFonts w:ascii="Arial" w:hAnsi="Arial" w:cs="Arial"/>
          <w:sz w:val="26"/>
          <w:szCs w:val="26"/>
        </w:rPr>
        <w:t>rty spojenými: „Pro tato shromáždění je</w:t>
      </w:r>
      <w:r>
        <w:rPr>
          <w:rFonts w:ascii="Arial" w:hAnsi="Arial" w:cs="Arial"/>
          <w:sz w:val="26"/>
          <w:szCs w:val="26"/>
        </w:rPr>
        <w:t xml:space="preserve"> </w:t>
      </w:r>
      <w:r w:rsidRPr="005C5C81">
        <w:rPr>
          <w:rFonts w:ascii="Arial" w:hAnsi="Arial" w:cs="Arial"/>
          <w:sz w:val="26"/>
          <w:szCs w:val="26"/>
        </w:rPr>
        <w:t>charakteristické, že jejich konání bývá spojeno s významnými riziky především na úseku</w:t>
      </w:r>
      <w:r>
        <w:rPr>
          <w:rFonts w:ascii="Arial" w:hAnsi="Arial" w:cs="Arial"/>
          <w:sz w:val="26"/>
          <w:szCs w:val="26"/>
        </w:rPr>
        <w:t xml:space="preserve"> </w:t>
      </w:r>
      <w:r w:rsidRPr="005C5C81">
        <w:rPr>
          <w:rFonts w:ascii="Arial" w:hAnsi="Arial" w:cs="Arial"/>
          <w:sz w:val="26"/>
          <w:szCs w:val="26"/>
        </w:rPr>
        <w:t xml:space="preserve">ochrany veřejného pořádku, bezpečnosti, života </w:t>
      </w:r>
      <w:r w:rsidR="005B3CE6">
        <w:rPr>
          <w:rFonts w:ascii="Arial" w:hAnsi="Arial" w:cs="Arial"/>
          <w:sz w:val="26"/>
          <w:szCs w:val="26"/>
        </w:rPr>
        <w:br/>
      </w:r>
      <w:r w:rsidRPr="005C5C81">
        <w:rPr>
          <w:rFonts w:ascii="Arial" w:hAnsi="Arial" w:cs="Arial"/>
          <w:sz w:val="26"/>
          <w:szCs w:val="26"/>
        </w:rPr>
        <w:t>a zdraví osob, majetku a životního</w:t>
      </w:r>
      <w:r>
        <w:rPr>
          <w:rFonts w:ascii="Arial" w:hAnsi="Arial" w:cs="Arial"/>
          <w:sz w:val="26"/>
          <w:szCs w:val="26"/>
        </w:rPr>
        <w:t xml:space="preserve"> </w:t>
      </w:r>
      <w:r w:rsidRPr="005C5C81">
        <w:rPr>
          <w:rFonts w:ascii="Arial" w:hAnsi="Arial" w:cs="Arial"/>
          <w:sz w:val="26"/>
          <w:szCs w:val="26"/>
        </w:rPr>
        <w:t>prostředí. Jde zejména o akce (shromáždění) hudební a taneční, pořádané obvykle</w:t>
      </w:r>
      <w:r>
        <w:rPr>
          <w:rFonts w:ascii="Arial" w:hAnsi="Arial" w:cs="Arial"/>
          <w:sz w:val="26"/>
          <w:szCs w:val="26"/>
        </w:rPr>
        <w:t xml:space="preserve"> </w:t>
      </w:r>
      <w:r w:rsidRPr="005C5C81">
        <w:rPr>
          <w:rFonts w:ascii="Arial" w:hAnsi="Arial" w:cs="Arial"/>
          <w:sz w:val="26"/>
          <w:szCs w:val="26"/>
        </w:rPr>
        <w:t>soukromými osobami, pro velký počet osob (v řádu stovek až tisíců), na pozemcích, které</w:t>
      </w:r>
      <w:r>
        <w:rPr>
          <w:rFonts w:ascii="Arial" w:hAnsi="Arial" w:cs="Arial"/>
          <w:sz w:val="26"/>
          <w:szCs w:val="26"/>
        </w:rPr>
        <w:t xml:space="preserve"> </w:t>
      </w:r>
      <w:r w:rsidRPr="005C5C81">
        <w:rPr>
          <w:rFonts w:ascii="Arial" w:hAnsi="Arial" w:cs="Arial"/>
          <w:sz w:val="26"/>
          <w:szCs w:val="26"/>
        </w:rPr>
        <w:t>k tomuto účelu nejsou primárně určeny, bez zajištění základních hygienických</w:t>
      </w:r>
      <w:r w:rsidR="005B3CE6">
        <w:rPr>
          <w:rFonts w:ascii="Arial" w:hAnsi="Arial" w:cs="Arial"/>
          <w:sz w:val="26"/>
          <w:szCs w:val="26"/>
        </w:rPr>
        <w:br/>
      </w:r>
      <w:r w:rsidRPr="005C5C81">
        <w:rPr>
          <w:rFonts w:ascii="Arial" w:hAnsi="Arial" w:cs="Arial"/>
          <w:sz w:val="26"/>
          <w:szCs w:val="26"/>
        </w:rPr>
        <w:t>a</w:t>
      </w:r>
      <w:r>
        <w:rPr>
          <w:rFonts w:ascii="Arial" w:hAnsi="Arial" w:cs="Arial"/>
          <w:sz w:val="26"/>
          <w:szCs w:val="26"/>
        </w:rPr>
        <w:t xml:space="preserve"> </w:t>
      </w:r>
      <w:r w:rsidRPr="005C5C81">
        <w:rPr>
          <w:rFonts w:ascii="Arial" w:hAnsi="Arial" w:cs="Arial"/>
          <w:sz w:val="26"/>
          <w:szCs w:val="26"/>
        </w:rPr>
        <w:t>bezpečnostních podmínek, v důsledku čehož vznikají zmíněná rizika</w:t>
      </w:r>
      <w:r w:rsidR="003D1EC4">
        <w:rPr>
          <w:rFonts w:ascii="Arial" w:hAnsi="Arial" w:cs="Arial"/>
          <w:sz w:val="26"/>
          <w:szCs w:val="26"/>
        </w:rPr>
        <w:t>.</w:t>
      </w:r>
    </w:p>
    <w:p w:rsidR="000B6287" w:rsidRPr="00777C25" w:rsidRDefault="00C67930" w:rsidP="00777C25">
      <w:pPr>
        <w:pStyle w:val="Nadpis1"/>
        <w:numPr>
          <w:ilvl w:val="0"/>
          <w:numId w:val="5"/>
        </w:numPr>
        <w:ind w:left="357" w:hanging="357"/>
        <w:rPr>
          <w:rFonts w:ascii="Arial" w:hAnsi="Arial"/>
          <w:sz w:val="28"/>
          <w:u w:val="none"/>
        </w:rPr>
      </w:pPr>
      <w:r>
        <w:rPr>
          <w:rFonts w:ascii="Arial" w:hAnsi="Arial"/>
          <w:sz w:val="28"/>
          <w:u w:val="none"/>
        </w:rPr>
        <w:br w:type="page"/>
      </w:r>
      <w:bookmarkStart w:id="6" w:name="_Toc275264780"/>
      <w:r w:rsidR="000B6287" w:rsidRPr="00777C25">
        <w:rPr>
          <w:rFonts w:ascii="Arial" w:hAnsi="Arial"/>
          <w:sz w:val="28"/>
          <w:u w:val="none"/>
        </w:rPr>
        <w:lastRenderedPageBreak/>
        <w:t>Úvod</w:t>
      </w:r>
      <w:bookmarkEnd w:id="6"/>
    </w:p>
    <w:p w:rsidR="0092692C" w:rsidRDefault="00572F2D" w:rsidP="00D45649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Do České republiky se technop</w:t>
      </w:r>
      <w:r w:rsidR="005A40D6">
        <w:rPr>
          <w:rFonts w:ascii="Arial" w:hAnsi="Arial" w:cs="Arial"/>
          <w:sz w:val="26"/>
          <w:szCs w:val="26"/>
        </w:rPr>
        <w:t>á</w:t>
      </w:r>
      <w:r>
        <w:rPr>
          <w:rFonts w:ascii="Arial" w:hAnsi="Arial" w:cs="Arial"/>
          <w:sz w:val="26"/>
          <w:szCs w:val="26"/>
        </w:rPr>
        <w:t xml:space="preserve">rty dostala </w:t>
      </w:r>
      <w:r w:rsidR="00D45649">
        <w:rPr>
          <w:rFonts w:ascii="Arial" w:hAnsi="Arial" w:cs="Arial"/>
          <w:sz w:val="26"/>
          <w:szCs w:val="26"/>
        </w:rPr>
        <w:t>v roce</w:t>
      </w:r>
      <w:r>
        <w:rPr>
          <w:rFonts w:ascii="Arial" w:hAnsi="Arial" w:cs="Arial"/>
          <w:sz w:val="26"/>
          <w:szCs w:val="26"/>
        </w:rPr>
        <w:t xml:space="preserve"> 1994, kdy se </w:t>
      </w:r>
      <w:r w:rsidR="00D45649">
        <w:rPr>
          <w:rFonts w:ascii="Arial" w:hAnsi="Arial" w:cs="Arial"/>
          <w:sz w:val="26"/>
          <w:szCs w:val="26"/>
        </w:rPr>
        <w:t>do Evropy začaly šířit sound systémy vyhnané z britské scény. První technop</w:t>
      </w:r>
      <w:r w:rsidR="005A40D6">
        <w:rPr>
          <w:rFonts w:ascii="Arial" w:hAnsi="Arial" w:cs="Arial"/>
          <w:sz w:val="26"/>
          <w:szCs w:val="26"/>
        </w:rPr>
        <w:t>á</w:t>
      </w:r>
      <w:r w:rsidR="00D45649">
        <w:rPr>
          <w:rFonts w:ascii="Arial" w:hAnsi="Arial" w:cs="Arial"/>
          <w:sz w:val="26"/>
          <w:szCs w:val="26"/>
        </w:rPr>
        <w:t>rty</w:t>
      </w:r>
      <w:r w:rsidR="00D45649" w:rsidRPr="00D45649">
        <w:rPr>
          <w:rFonts w:ascii="Arial" w:hAnsi="Arial" w:cs="Arial"/>
          <w:sz w:val="26"/>
          <w:szCs w:val="26"/>
        </w:rPr>
        <w:t xml:space="preserve"> zdaleka nedosahovaly rozsahu dnes konaných festivalů typu</w:t>
      </w:r>
      <w:r w:rsidR="00D45649">
        <w:rPr>
          <w:rFonts w:ascii="Arial" w:hAnsi="Arial" w:cs="Arial"/>
          <w:sz w:val="26"/>
          <w:szCs w:val="26"/>
        </w:rPr>
        <w:t xml:space="preserve"> </w:t>
      </w:r>
      <w:r w:rsidR="00D45649" w:rsidRPr="00D45649">
        <w:rPr>
          <w:rFonts w:ascii="Arial" w:hAnsi="Arial" w:cs="Arial"/>
          <w:sz w:val="26"/>
          <w:szCs w:val="26"/>
        </w:rPr>
        <w:t>Czechtek, jednalo se spíše o squatting opuštěných prostor; zároveň se část scény</w:t>
      </w:r>
      <w:r w:rsidR="00D45649">
        <w:rPr>
          <w:rFonts w:ascii="Arial" w:hAnsi="Arial" w:cs="Arial"/>
          <w:sz w:val="26"/>
          <w:szCs w:val="26"/>
        </w:rPr>
        <w:t xml:space="preserve"> </w:t>
      </w:r>
      <w:r w:rsidR="00D45649" w:rsidRPr="00D45649">
        <w:rPr>
          <w:rFonts w:ascii="Arial" w:hAnsi="Arial" w:cs="Arial"/>
          <w:sz w:val="26"/>
          <w:szCs w:val="26"/>
        </w:rPr>
        <w:t>přesouvala do klubů. S narůstajícím počtem</w:t>
      </w:r>
      <w:r w:rsidR="00D45649">
        <w:rPr>
          <w:rFonts w:ascii="Arial" w:hAnsi="Arial" w:cs="Arial"/>
          <w:sz w:val="26"/>
          <w:szCs w:val="26"/>
        </w:rPr>
        <w:t xml:space="preserve"> </w:t>
      </w:r>
      <w:r w:rsidR="00D45649" w:rsidRPr="00D45649">
        <w:rPr>
          <w:rFonts w:ascii="Arial" w:hAnsi="Arial" w:cs="Arial"/>
          <w:sz w:val="26"/>
          <w:szCs w:val="26"/>
        </w:rPr>
        <w:t>příznivců techna rostl i počet sound systémů a menších parties</w:t>
      </w:r>
      <w:r w:rsidR="00C93AA6">
        <w:rPr>
          <w:rStyle w:val="Znakapoznpodarou"/>
          <w:rFonts w:ascii="Arial" w:hAnsi="Arial" w:cs="Arial"/>
          <w:sz w:val="26"/>
          <w:szCs w:val="26"/>
        </w:rPr>
        <w:footnoteReference w:id="1"/>
      </w:r>
      <w:r w:rsidR="00D45649" w:rsidRPr="00D45649">
        <w:rPr>
          <w:rFonts w:ascii="Arial" w:hAnsi="Arial" w:cs="Arial"/>
          <w:sz w:val="26"/>
          <w:szCs w:val="26"/>
        </w:rPr>
        <w:t>.</w:t>
      </w:r>
      <w:r w:rsidR="00D45649">
        <w:rPr>
          <w:rFonts w:ascii="Arial" w:hAnsi="Arial" w:cs="Arial"/>
          <w:sz w:val="26"/>
          <w:szCs w:val="26"/>
        </w:rPr>
        <w:t xml:space="preserve"> </w:t>
      </w:r>
      <w:r w:rsidR="00C93AA6">
        <w:rPr>
          <w:rFonts w:ascii="Arial" w:hAnsi="Arial" w:cs="Arial"/>
          <w:sz w:val="26"/>
          <w:szCs w:val="26"/>
        </w:rPr>
        <w:t>V prvních ročnících technop</w:t>
      </w:r>
      <w:r w:rsidR="005A40D6">
        <w:rPr>
          <w:rFonts w:ascii="Arial" w:hAnsi="Arial" w:cs="Arial"/>
          <w:sz w:val="26"/>
          <w:szCs w:val="26"/>
        </w:rPr>
        <w:t>á</w:t>
      </w:r>
      <w:r w:rsidR="00C93AA6">
        <w:rPr>
          <w:rFonts w:ascii="Arial" w:hAnsi="Arial" w:cs="Arial"/>
          <w:sz w:val="26"/>
          <w:szCs w:val="26"/>
        </w:rPr>
        <w:t>rty byla návštěvnost do 2000 účastníků a akce se konaly na pronajatém nebo vypůjčeném pozemku, tedy se souhlasem vlastníka. Zároveň se až do roku 1998 technop</w:t>
      </w:r>
      <w:r w:rsidR="005A40D6">
        <w:rPr>
          <w:rFonts w:ascii="Arial" w:hAnsi="Arial" w:cs="Arial"/>
          <w:sz w:val="26"/>
          <w:szCs w:val="26"/>
        </w:rPr>
        <w:t>á</w:t>
      </w:r>
      <w:r w:rsidR="00C93AA6">
        <w:rPr>
          <w:rFonts w:ascii="Arial" w:hAnsi="Arial" w:cs="Arial"/>
          <w:sz w:val="26"/>
          <w:szCs w:val="26"/>
        </w:rPr>
        <w:t>rty obešly bez konfliktu s policií.</w:t>
      </w:r>
    </w:p>
    <w:p w:rsidR="00C93AA6" w:rsidRDefault="00C93AA6" w:rsidP="00D45649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V roce 1999 se konala poprvé technop</w:t>
      </w:r>
      <w:r w:rsidR="005A40D6">
        <w:rPr>
          <w:rFonts w:ascii="Arial" w:hAnsi="Arial" w:cs="Arial"/>
          <w:sz w:val="26"/>
          <w:szCs w:val="26"/>
        </w:rPr>
        <w:t>á</w:t>
      </w:r>
      <w:r>
        <w:rPr>
          <w:rFonts w:ascii="Arial" w:hAnsi="Arial" w:cs="Arial"/>
          <w:sz w:val="26"/>
          <w:szCs w:val="26"/>
        </w:rPr>
        <w:t xml:space="preserve">rty na nelegálně zabraném pozemku a </w:t>
      </w:r>
      <w:r w:rsidR="00566519">
        <w:rPr>
          <w:rFonts w:ascii="Arial" w:hAnsi="Arial" w:cs="Arial"/>
          <w:sz w:val="26"/>
          <w:szCs w:val="26"/>
        </w:rPr>
        <w:t>počet účastníků začal rapidně narůstat. V roce 2004</w:t>
      </w:r>
      <w:r w:rsidR="00954251">
        <w:rPr>
          <w:rFonts w:ascii="Arial" w:hAnsi="Arial" w:cs="Arial"/>
          <w:sz w:val="26"/>
          <w:szCs w:val="26"/>
        </w:rPr>
        <w:t>,</w:t>
      </w:r>
      <w:r w:rsidR="00566519">
        <w:rPr>
          <w:rFonts w:ascii="Arial" w:hAnsi="Arial" w:cs="Arial"/>
          <w:sz w:val="26"/>
          <w:szCs w:val="26"/>
        </w:rPr>
        <w:t xml:space="preserve"> j</w:t>
      </w:r>
      <w:r w:rsidR="00AC0730">
        <w:rPr>
          <w:rFonts w:ascii="Arial" w:hAnsi="Arial" w:cs="Arial"/>
          <w:sz w:val="26"/>
          <w:szCs w:val="26"/>
        </w:rPr>
        <w:t>iž pod hlavičkou CzechTek</w:t>
      </w:r>
      <w:r w:rsidR="00566519">
        <w:rPr>
          <w:rFonts w:ascii="Arial" w:hAnsi="Arial" w:cs="Arial"/>
          <w:sz w:val="26"/>
          <w:szCs w:val="26"/>
        </w:rPr>
        <w:t>u</w:t>
      </w:r>
      <w:r w:rsidR="00954251">
        <w:rPr>
          <w:rFonts w:ascii="Arial" w:hAnsi="Arial" w:cs="Arial"/>
          <w:sz w:val="26"/>
          <w:szCs w:val="26"/>
        </w:rPr>
        <w:t>,</w:t>
      </w:r>
      <w:r w:rsidR="00566519">
        <w:rPr>
          <w:rFonts w:ascii="Arial" w:hAnsi="Arial" w:cs="Arial"/>
          <w:sz w:val="26"/>
          <w:szCs w:val="26"/>
        </w:rPr>
        <w:t xml:space="preserve"> dosáhl počet účastníků </w:t>
      </w:r>
      <w:smartTag w:uri="urn:schemas-microsoft-com:office:smarttags" w:element="metricconverter">
        <w:smartTagPr>
          <w:attr w:name="ProductID" w:val="15000 a"/>
        </w:smartTagPr>
        <w:r w:rsidR="00566519">
          <w:rPr>
            <w:rFonts w:ascii="Arial" w:hAnsi="Arial" w:cs="Arial"/>
            <w:sz w:val="26"/>
            <w:szCs w:val="26"/>
          </w:rPr>
          <w:t>15000 a</w:t>
        </w:r>
      </w:smartTag>
      <w:r w:rsidR="00566519">
        <w:rPr>
          <w:rFonts w:ascii="Arial" w:hAnsi="Arial" w:cs="Arial"/>
          <w:sz w:val="26"/>
          <w:szCs w:val="26"/>
        </w:rPr>
        <w:t xml:space="preserve"> o dva roky později se odhady počtu technařů pohybovaly okolo 50000 účastníků.</w:t>
      </w:r>
    </w:p>
    <w:p w:rsidR="00777C25" w:rsidRDefault="00AC0730" w:rsidP="00777C25">
      <w:pPr>
        <w:pStyle w:val="Nadpis1"/>
        <w:numPr>
          <w:ilvl w:val="0"/>
          <w:numId w:val="5"/>
        </w:numPr>
        <w:ind w:left="357" w:hanging="357"/>
        <w:rPr>
          <w:rFonts w:ascii="Arial" w:hAnsi="Arial"/>
          <w:sz w:val="28"/>
          <w:u w:val="none"/>
        </w:rPr>
      </w:pPr>
      <w:bookmarkStart w:id="7" w:name="_Toc275264781"/>
      <w:r>
        <w:rPr>
          <w:rFonts w:ascii="Arial" w:hAnsi="Arial"/>
          <w:sz w:val="28"/>
          <w:u w:val="none"/>
        </w:rPr>
        <w:t>Czechtek 2005</w:t>
      </w:r>
      <w:bookmarkEnd w:id="7"/>
    </w:p>
    <w:p w:rsidR="00293C33" w:rsidRDefault="00AC0730" w:rsidP="00AC0730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V roce 2003 byl policejním prezidentem vydán „metodický pokyn pro konání hromadných akcí s velkým počtem účastníků“ a rozkaz č. 67 k provedení policejního opatření „CzechTek 2005“. Cílem tohoto rozkazu bylo zákonnými prostředky zajistit bezpečnost osob a ochranu veřejného pořádku v době průběhu této akce.</w:t>
      </w:r>
      <w:r w:rsidR="00D32121">
        <w:rPr>
          <w:rFonts w:ascii="Arial" w:hAnsi="Arial" w:cs="Arial"/>
          <w:sz w:val="26"/>
          <w:szCs w:val="26"/>
        </w:rPr>
        <w:t xml:space="preserve"> Ačkoliv organizátoři CzechTeku prohlašovali, že akce proběhne na pronajatém pozemku, tedy bude legální, byl</w:t>
      </w:r>
      <w:r w:rsidR="00293C33">
        <w:rPr>
          <w:rFonts w:ascii="Arial" w:hAnsi="Arial" w:cs="Arial"/>
          <w:sz w:val="26"/>
          <w:szCs w:val="26"/>
        </w:rPr>
        <w:t>i</w:t>
      </w:r>
      <w:r w:rsidR="00D32121">
        <w:rPr>
          <w:rFonts w:ascii="Arial" w:hAnsi="Arial" w:cs="Arial"/>
          <w:sz w:val="26"/>
          <w:szCs w:val="26"/>
        </w:rPr>
        <w:t xml:space="preserve"> účastníci policií prostřednictvím médií upozorňováni, </w:t>
      </w:r>
      <w:r w:rsidR="00293C33">
        <w:rPr>
          <w:rFonts w:ascii="Arial" w:hAnsi="Arial" w:cs="Arial"/>
          <w:sz w:val="26"/>
          <w:szCs w:val="26"/>
        </w:rPr>
        <w:t xml:space="preserve">že celá akce, včetně příprav na ni, bude monitorována a budou přijata taková opatření, která zajistí ochranu veřejného pořádku, bezpečnost osob a majetku a plynulost dopravního provozu. </w:t>
      </w:r>
    </w:p>
    <w:p w:rsidR="00AC0730" w:rsidRDefault="00293C33" w:rsidP="00AC0730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Policie ČR vyčlenila k realizaci policejních opatření odpovídající počet příslušníků, byly zpracovány podklady pro instruktáž policistů</w:t>
      </w:r>
      <w:r w:rsidR="008A12C1">
        <w:rPr>
          <w:rFonts w:ascii="Arial" w:hAnsi="Arial" w:cs="Arial"/>
          <w:sz w:val="26"/>
          <w:szCs w:val="26"/>
        </w:rPr>
        <w:t>, připraven monitoring mezinárodních vlaků a železničních stanic, zajištěn vrtulník s posádkou a monitorovacím systémem, tlumočníci a p</w:t>
      </w:r>
      <w:r>
        <w:rPr>
          <w:rFonts w:ascii="Arial" w:hAnsi="Arial" w:cs="Arial"/>
          <w:sz w:val="26"/>
          <w:szCs w:val="26"/>
        </w:rPr>
        <w:t xml:space="preserve">rostřednictvím </w:t>
      </w:r>
      <w:r w:rsidR="008A12C1">
        <w:rPr>
          <w:rFonts w:ascii="Arial" w:hAnsi="Arial" w:cs="Arial"/>
          <w:sz w:val="26"/>
          <w:szCs w:val="26"/>
        </w:rPr>
        <w:t xml:space="preserve">Služby </w:t>
      </w:r>
      <w:r w:rsidR="008A12C1">
        <w:rPr>
          <w:rFonts w:ascii="Arial" w:hAnsi="Arial" w:cs="Arial"/>
          <w:sz w:val="26"/>
          <w:szCs w:val="26"/>
        </w:rPr>
        <w:lastRenderedPageBreak/>
        <w:t>cizinecké a pohraniční Policie ČR byly distribuovány na hranicích informační materiály, které upozorňovaly zahraniční technaře na případnou prot</w:t>
      </w:r>
      <w:r w:rsidR="00954251">
        <w:rPr>
          <w:rFonts w:ascii="Arial" w:hAnsi="Arial" w:cs="Arial"/>
          <w:sz w:val="26"/>
          <w:szCs w:val="26"/>
        </w:rPr>
        <w:t>iprávnost konané akce a vymezovaly</w:t>
      </w:r>
      <w:r w:rsidR="008A12C1">
        <w:rPr>
          <w:rFonts w:ascii="Arial" w:hAnsi="Arial" w:cs="Arial"/>
          <w:sz w:val="26"/>
          <w:szCs w:val="26"/>
        </w:rPr>
        <w:t xml:space="preserve"> trestn</w:t>
      </w:r>
      <w:r w:rsidR="00954251">
        <w:rPr>
          <w:rFonts w:ascii="Arial" w:hAnsi="Arial" w:cs="Arial"/>
          <w:sz w:val="26"/>
          <w:szCs w:val="26"/>
        </w:rPr>
        <w:t>é činy</w:t>
      </w:r>
      <w:r w:rsidR="008A12C1">
        <w:rPr>
          <w:rFonts w:ascii="Arial" w:hAnsi="Arial" w:cs="Arial"/>
          <w:sz w:val="26"/>
          <w:szCs w:val="26"/>
        </w:rPr>
        <w:t xml:space="preserve"> a přestupk</w:t>
      </w:r>
      <w:r w:rsidR="00954251">
        <w:rPr>
          <w:rFonts w:ascii="Arial" w:hAnsi="Arial" w:cs="Arial"/>
          <w:sz w:val="26"/>
          <w:szCs w:val="26"/>
        </w:rPr>
        <w:t>y</w:t>
      </w:r>
      <w:r w:rsidR="008A12C1">
        <w:rPr>
          <w:rFonts w:ascii="Arial" w:hAnsi="Arial" w:cs="Arial"/>
          <w:sz w:val="26"/>
          <w:szCs w:val="26"/>
        </w:rPr>
        <w:t xml:space="preserve"> včetně sankcí</w:t>
      </w:r>
      <w:r w:rsidR="00954251">
        <w:rPr>
          <w:rFonts w:ascii="Arial" w:hAnsi="Arial" w:cs="Arial"/>
          <w:sz w:val="26"/>
          <w:szCs w:val="26"/>
        </w:rPr>
        <w:t>, kterých se účastníci mohou dopustit v průběhu akce svou účastí na ní</w:t>
      </w:r>
      <w:r w:rsidR="008A12C1">
        <w:rPr>
          <w:rFonts w:ascii="Arial" w:hAnsi="Arial" w:cs="Arial"/>
          <w:sz w:val="26"/>
          <w:szCs w:val="26"/>
        </w:rPr>
        <w:t xml:space="preserve">. Zároveň byla zajištěna spolupráce s hygienickými stanicemi a zdravotnickými zařízeními. Dalším úkolem Policie ČR bylo okamžitě po zjištění místa konání </w:t>
      </w:r>
      <w:r w:rsidR="00A647FD">
        <w:rPr>
          <w:rFonts w:ascii="Arial" w:hAnsi="Arial" w:cs="Arial"/>
          <w:sz w:val="26"/>
          <w:szCs w:val="26"/>
        </w:rPr>
        <w:t xml:space="preserve">nepovolené </w:t>
      </w:r>
      <w:r w:rsidR="008A12C1">
        <w:rPr>
          <w:rFonts w:ascii="Arial" w:hAnsi="Arial" w:cs="Arial"/>
          <w:sz w:val="26"/>
          <w:szCs w:val="26"/>
        </w:rPr>
        <w:t>akce provést veškeré kroky k</w:t>
      </w:r>
      <w:r w:rsidR="00A647FD">
        <w:rPr>
          <w:rFonts w:ascii="Arial" w:hAnsi="Arial" w:cs="Arial"/>
          <w:sz w:val="26"/>
          <w:szCs w:val="26"/>
        </w:rPr>
        <w:t> jejímu ukončení.</w:t>
      </w:r>
    </w:p>
    <w:p w:rsidR="00A647FD" w:rsidRDefault="00A647FD" w:rsidP="00AC0730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Pořadatelé CzechTeku 2005 vy</w:t>
      </w:r>
      <w:r w:rsidR="00954251">
        <w:rPr>
          <w:rFonts w:ascii="Arial" w:hAnsi="Arial" w:cs="Arial"/>
          <w:sz w:val="26"/>
          <w:szCs w:val="26"/>
        </w:rPr>
        <w:t>dali prohlášení, v němž vyzvali</w:t>
      </w:r>
      <w:r>
        <w:rPr>
          <w:rFonts w:ascii="Arial" w:hAnsi="Arial" w:cs="Arial"/>
          <w:sz w:val="26"/>
          <w:szCs w:val="26"/>
        </w:rPr>
        <w:t xml:space="preserve"> Policii ČR k dodržování platných zákonů a ke spolupráci na hladkém průběhu celého „festivalu“ místo nesmyslných perzekucí. Zároveň pořadatelé prohlašovali, že akce proběhne na soukromém pozemku, bude zajištěn dostatečný počet toalet, cisteren s vodou a budou učiněna potřebná opatření k zajištění bezpečnosti návštěvníků technop</w:t>
      </w:r>
      <w:r w:rsidR="005A40D6">
        <w:rPr>
          <w:rFonts w:ascii="Arial" w:hAnsi="Arial" w:cs="Arial"/>
          <w:sz w:val="26"/>
          <w:szCs w:val="26"/>
        </w:rPr>
        <w:t>á</w:t>
      </w:r>
      <w:r>
        <w:rPr>
          <w:rFonts w:ascii="Arial" w:hAnsi="Arial" w:cs="Arial"/>
          <w:sz w:val="26"/>
          <w:szCs w:val="26"/>
        </w:rPr>
        <w:t>rty.</w:t>
      </w:r>
    </w:p>
    <w:p w:rsidR="003A496B" w:rsidRDefault="005C5C81" w:rsidP="00AC0730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Na akc</w:t>
      </w:r>
      <w:r w:rsidR="003D1EC4">
        <w:rPr>
          <w:rFonts w:ascii="Arial" w:hAnsi="Arial" w:cs="Arial"/>
          <w:sz w:val="26"/>
          <w:szCs w:val="26"/>
        </w:rPr>
        <w:t>e typu technop</w:t>
      </w:r>
      <w:r w:rsidR="005A40D6">
        <w:rPr>
          <w:rFonts w:ascii="Arial" w:hAnsi="Arial" w:cs="Arial"/>
          <w:sz w:val="26"/>
          <w:szCs w:val="26"/>
        </w:rPr>
        <w:t>á</w:t>
      </w:r>
      <w:r w:rsidR="003D1EC4">
        <w:rPr>
          <w:rFonts w:ascii="Arial" w:hAnsi="Arial" w:cs="Arial"/>
          <w:sz w:val="26"/>
          <w:szCs w:val="26"/>
        </w:rPr>
        <w:t>rty se nevztahovala</w:t>
      </w:r>
      <w:r>
        <w:rPr>
          <w:rFonts w:ascii="Arial" w:hAnsi="Arial" w:cs="Arial"/>
          <w:sz w:val="26"/>
          <w:szCs w:val="26"/>
        </w:rPr>
        <w:t xml:space="preserve"> ohlašovací povinnost</w:t>
      </w:r>
      <w:r w:rsidR="003D1EC4">
        <w:rPr>
          <w:rFonts w:ascii="Arial" w:hAnsi="Arial" w:cs="Arial"/>
          <w:sz w:val="26"/>
          <w:szCs w:val="26"/>
        </w:rPr>
        <w:t>, proto bylo, dle názoru pořadatelů, pronájmem pozemku pro konání akce a zajištění hygienického zázemí učiněno našemu právnímu řádu zadost pro legalizaci celé akce.</w:t>
      </w:r>
    </w:p>
    <w:p w:rsidR="009607AC" w:rsidRDefault="00D55F62" w:rsidP="009607AC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Policie ČR provedla velmi razantní zásah proti účastníkům CzechTeku 2005, který se neobešel bez zraněných a zároveň vyvolal</w:t>
      </w:r>
      <w:r w:rsidR="00954251">
        <w:rPr>
          <w:rFonts w:ascii="Arial" w:hAnsi="Arial" w:cs="Arial"/>
          <w:sz w:val="26"/>
          <w:szCs w:val="26"/>
        </w:rPr>
        <w:t xml:space="preserve"> velký zájem médií a</w:t>
      </w:r>
      <w:r>
        <w:rPr>
          <w:rFonts w:ascii="Arial" w:hAnsi="Arial" w:cs="Arial"/>
          <w:sz w:val="26"/>
          <w:szCs w:val="26"/>
        </w:rPr>
        <w:t xml:space="preserve"> vlnu protestů nejen ze strany účastníků, ale i ze strany občanů. </w:t>
      </w:r>
    </w:p>
    <w:p w:rsidR="00777C25" w:rsidRDefault="009607AC" w:rsidP="00E93846">
      <w:pPr>
        <w:pStyle w:val="Nadpis1"/>
        <w:numPr>
          <w:ilvl w:val="0"/>
          <w:numId w:val="5"/>
        </w:numPr>
        <w:ind w:left="357" w:hanging="357"/>
        <w:rPr>
          <w:rFonts w:ascii="Arial" w:hAnsi="Arial"/>
          <w:sz w:val="28"/>
          <w:u w:val="none"/>
        </w:rPr>
      </w:pPr>
      <w:bookmarkStart w:id="8" w:name="_Toc275264782"/>
      <w:r>
        <w:rPr>
          <w:rFonts w:ascii="Arial" w:hAnsi="Arial"/>
          <w:sz w:val="28"/>
          <w:u w:val="none"/>
        </w:rPr>
        <w:t>Opatření přijatá po Czechteku 2005</w:t>
      </w:r>
      <w:bookmarkEnd w:id="8"/>
    </w:p>
    <w:p w:rsidR="009607AC" w:rsidRDefault="009607AC" w:rsidP="009607AC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9607AC">
        <w:rPr>
          <w:rFonts w:ascii="Arial" w:hAnsi="Arial" w:cs="Arial"/>
          <w:sz w:val="26"/>
          <w:szCs w:val="26"/>
        </w:rPr>
        <w:t>Postup Policie ČR v souvislosti s pořádáním shromáždění nebo jiných akcí</w:t>
      </w:r>
      <w:r>
        <w:rPr>
          <w:rFonts w:ascii="Arial" w:hAnsi="Arial" w:cs="Arial"/>
          <w:sz w:val="26"/>
          <w:szCs w:val="26"/>
        </w:rPr>
        <w:t xml:space="preserve"> </w:t>
      </w:r>
      <w:r w:rsidRPr="009607AC">
        <w:rPr>
          <w:rFonts w:ascii="Arial" w:hAnsi="Arial" w:cs="Arial"/>
          <w:sz w:val="26"/>
          <w:szCs w:val="26"/>
        </w:rPr>
        <w:t>s účastí většího počtu osob upravil závazný pokyn policejního prezidenta č.36/2006,</w:t>
      </w:r>
      <w:r>
        <w:rPr>
          <w:rFonts w:ascii="Arial" w:hAnsi="Arial" w:cs="Arial"/>
          <w:sz w:val="26"/>
          <w:szCs w:val="26"/>
        </w:rPr>
        <w:t xml:space="preserve"> </w:t>
      </w:r>
      <w:r w:rsidRPr="009607AC">
        <w:rPr>
          <w:rFonts w:ascii="Arial" w:hAnsi="Arial" w:cs="Arial"/>
          <w:sz w:val="26"/>
          <w:szCs w:val="26"/>
        </w:rPr>
        <w:t>kterým se upravuje řízení policejních opatření, v jejichž rámci jsou připraveny k</w:t>
      </w:r>
      <w:r>
        <w:rPr>
          <w:rFonts w:ascii="Arial" w:hAnsi="Arial" w:cs="Arial"/>
          <w:sz w:val="26"/>
          <w:szCs w:val="26"/>
        </w:rPr>
        <w:t> </w:t>
      </w:r>
      <w:r w:rsidRPr="009607AC">
        <w:rPr>
          <w:rFonts w:ascii="Arial" w:hAnsi="Arial" w:cs="Arial"/>
          <w:sz w:val="26"/>
          <w:szCs w:val="26"/>
        </w:rPr>
        <w:t>nasazení</w:t>
      </w:r>
      <w:r>
        <w:rPr>
          <w:rFonts w:ascii="Arial" w:hAnsi="Arial" w:cs="Arial"/>
          <w:sz w:val="26"/>
          <w:szCs w:val="26"/>
        </w:rPr>
        <w:t xml:space="preserve"> </w:t>
      </w:r>
      <w:r w:rsidRPr="009607AC">
        <w:rPr>
          <w:rFonts w:ascii="Arial" w:hAnsi="Arial" w:cs="Arial"/>
          <w:sz w:val="26"/>
          <w:szCs w:val="26"/>
        </w:rPr>
        <w:t>síly a prostředky k zákroku pod jednotným velením. Toto řízení je prováděno zásadně</w:t>
      </w:r>
      <w:r>
        <w:rPr>
          <w:rFonts w:ascii="Arial" w:hAnsi="Arial" w:cs="Arial"/>
          <w:sz w:val="26"/>
          <w:szCs w:val="26"/>
        </w:rPr>
        <w:t xml:space="preserve"> </w:t>
      </w:r>
      <w:r w:rsidRPr="009607AC">
        <w:rPr>
          <w:rFonts w:ascii="Arial" w:hAnsi="Arial" w:cs="Arial"/>
          <w:sz w:val="26"/>
          <w:szCs w:val="26"/>
        </w:rPr>
        <w:t>z úrovně PČR správy kraje. Dále byla stanovena povinnost pro velitele rozsáhlého a</w:t>
      </w:r>
      <w:r>
        <w:rPr>
          <w:rFonts w:ascii="Arial" w:hAnsi="Arial" w:cs="Arial"/>
          <w:sz w:val="26"/>
          <w:szCs w:val="26"/>
        </w:rPr>
        <w:t xml:space="preserve"> </w:t>
      </w:r>
      <w:r w:rsidRPr="009607AC">
        <w:rPr>
          <w:rFonts w:ascii="Arial" w:hAnsi="Arial" w:cs="Arial"/>
          <w:sz w:val="26"/>
          <w:szCs w:val="26"/>
        </w:rPr>
        <w:t xml:space="preserve">dlouhodobého policejního </w:t>
      </w:r>
      <w:r w:rsidRPr="009607AC">
        <w:rPr>
          <w:rFonts w:ascii="Arial" w:hAnsi="Arial" w:cs="Arial"/>
          <w:sz w:val="26"/>
          <w:szCs w:val="26"/>
        </w:rPr>
        <w:lastRenderedPageBreak/>
        <w:t>opatření zřídit tzv. řídící štáb, jež má na starosti logistiku,</w:t>
      </w:r>
      <w:r>
        <w:rPr>
          <w:rFonts w:ascii="Arial" w:hAnsi="Arial" w:cs="Arial"/>
          <w:sz w:val="26"/>
          <w:szCs w:val="26"/>
        </w:rPr>
        <w:t xml:space="preserve"> </w:t>
      </w:r>
      <w:r w:rsidRPr="009607AC">
        <w:rPr>
          <w:rFonts w:ascii="Arial" w:hAnsi="Arial" w:cs="Arial"/>
          <w:sz w:val="26"/>
          <w:szCs w:val="26"/>
        </w:rPr>
        <w:t>organizaci vnitřního a vnějšího opatření, právní a analytickou podporou a vnější</w:t>
      </w:r>
      <w:r>
        <w:rPr>
          <w:rFonts w:ascii="Arial" w:hAnsi="Arial" w:cs="Arial"/>
          <w:sz w:val="26"/>
          <w:szCs w:val="26"/>
        </w:rPr>
        <w:t xml:space="preserve"> </w:t>
      </w:r>
      <w:r w:rsidRPr="009607AC">
        <w:rPr>
          <w:rFonts w:ascii="Arial" w:hAnsi="Arial" w:cs="Arial"/>
          <w:sz w:val="26"/>
          <w:szCs w:val="26"/>
        </w:rPr>
        <w:t>vztahy</w:t>
      </w:r>
      <w:r>
        <w:rPr>
          <w:rFonts w:ascii="Arial" w:hAnsi="Arial" w:cs="Arial"/>
          <w:sz w:val="26"/>
          <w:szCs w:val="26"/>
        </w:rPr>
        <w:t>.</w:t>
      </w:r>
      <w:r>
        <w:rPr>
          <w:rStyle w:val="Znakapoznpodarou"/>
          <w:rFonts w:ascii="Arial" w:hAnsi="Arial" w:cs="Arial"/>
          <w:sz w:val="26"/>
          <w:szCs w:val="26"/>
        </w:rPr>
        <w:footnoteReference w:id="2"/>
      </w:r>
    </w:p>
    <w:p w:rsidR="000B5A6C" w:rsidRDefault="000B5A6C" w:rsidP="009607AC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 potřeby obcí byla vydána Metodická pomůcka pro starosty obcí k postupu při konání akcí typu technopárty a vzorová obecně závazná vyhláška k úpravě pořádání těchto akcí, která je uveřejněna na internetových stránkách odboru dozoru a kontroly veřejné správy.</w:t>
      </w:r>
    </w:p>
    <w:p w:rsidR="009607AC" w:rsidRDefault="009607AC" w:rsidP="009607AC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Zároveň byl 1. 7. 2006 vydán Výborem pro civilní nouzové plánování Katalogový soubor – typová činnost složek IZS při společném zásahu</w:t>
      </w:r>
      <w:r w:rsidR="009D399D">
        <w:rPr>
          <w:rFonts w:ascii="Arial" w:hAnsi="Arial" w:cs="Arial"/>
          <w:sz w:val="26"/>
          <w:szCs w:val="26"/>
        </w:rPr>
        <w:t xml:space="preserve"> STČ–06/IZS</w:t>
      </w:r>
      <w:r>
        <w:rPr>
          <w:rFonts w:ascii="Arial" w:hAnsi="Arial" w:cs="Arial"/>
          <w:sz w:val="26"/>
          <w:szCs w:val="26"/>
        </w:rPr>
        <w:t xml:space="preserve"> – „Zásah složek IZS v podmínkách rozsáhlých policejních opatření pro udržení veřejného pořádku při technopárty“.</w:t>
      </w:r>
    </w:p>
    <w:p w:rsidR="005F7C0A" w:rsidRDefault="005F7C0A" w:rsidP="005F7C0A">
      <w:pPr>
        <w:pStyle w:val="Nadpis1"/>
        <w:numPr>
          <w:ilvl w:val="0"/>
          <w:numId w:val="5"/>
        </w:numPr>
        <w:ind w:left="357" w:hanging="357"/>
        <w:rPr>
          <w:rFonts w:ascii="Arial" w:hAnsi="Arial"/>
          <w:sz w:val="28"/>
          <w:u w:val="none"/>
        </w:rPr>
      </w:pPr>
      <w:bookmarkStart w:id="9" w:name="_Toc275264783"/>
      <w:r>
        <w:rPr>
          <w:rFonts w:ascii="Arial" w:hAnsi="Arial"/>
          <w:sz w:val="28"/>
          <w:u w:val="none"/>
        </w:rPr>
        <w:t>Příprava na mimořádnou událost</w:t>
      </w:r>
      <w:bookmarkEnd w:id="9"/>
    </w:p>
    <w:p w:rsidR="005F7C0A" w:rsidRDefault="005F7C0A" w:rsidP="005F7C0A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Při přípravě o</w:t>
      </w:r>
      <w:r w:rsidRPr="005F7C0A">
        <w:rPr>
          <w:rFonts w:ascii="Arial" w:hAnsi="Arial" w:cs="Arial"/>
          <w:sz w:val="26"/>
          <w:szCs w:val="26"/>
        </w:rPr>
        <w:t xml:space="preserve">bec prověří stav objektů požární ochrany, požárně bezpečnostních zařízení, ohlašovny požárů a stanovených zdrojů požární vody. Jakékoliv problémy oznámí operačnímu a informačnímu středisku HZS kraje. </w:t>
      </w:r>
    </w:p>
    <w:p w:rsidR="005F7C0A" w:rsidRDefault="005F7C0A" w:rsidP="005F7C0A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5F7C0A">
        <w:rPr>
          <w:rFonts w:ascii="Arial" w:hAnsi="Arial" w:cs="Arial"/>
          <w:sz w:val="26"/>
          <w:szCs w:val="26"/>
        </w:rPr>
        <w:t xml:space="preserve">Pokud jednotka SDH obce není zařazena v plošném pokrytí kraje jednotkami požární ochrany, </w:t>
      </w:r>
      <w:r>
        <w:rPr>
          <w:rFonts w:ascii="Arial" w:hAnsi="Arial" w:cs="Arial"/>
          <w:sz w:val="26"/>
          <w:szCs w:val="26"/>
        </w:rPr>
        <w:t>je doporučeno</w:t>
      </w:r>
      <w:r w:rsidRPr="005F7C0A">
        <w:rPr>
          <w:rFonts w:ascii="Arial" w:hAnsi="Arial" w:cs="Arial"/>
          <w:sz w:val="26"/>
          <w:szCs w:val="26"/>
        </w:rPr>
        <w:t>, aby obec nabídla pořadateli technopárty případnou účast její</w:t>
      </w:r>
      <w:r>
        <w:rPr>
          <w:rFonts w:ascii="Arial" w:hAnsi="Arial" w:cs="Arial"/>
          <w:sz w:val="26"/>
          <w:szCs w:val="26"/>
        </w:rPr>
        <w:t>ch členů jako požárních hlídek</w:t>
      </w:r>
      <w:r w:rsidRPr="005F7C0A">
        <w:rPr>
          <w:rFonts w:ascii="Arial" w:hAnsi="Arial" w:cs="Arial"/>
          <w:sz w:val="26"/>
          <w:szCs w:val="26"/>
        </w:rPr>
        <w:t>. V takovém případě je ale nutné po dohodě s Policií ČR připravit cisternovou automobilovou stříkačku nebo jinou techniku, k</w:t>
      </w:r>
      <w:r>
        <w:rPr>
          <w:rFonts w:ascii="Arial" w:hAnsi="Arial" w:cs="Arial"/>
          <w:sz w:val="26"/>
          <w:szCs w:val="26"/>
        </w:rPr>
        <w:t>terou jednotka SDH obce používá</w:t>
      </w:r>
      <w:r w:rsidRPr="005F7C0A">
        <w:rPr>
          <w:rFonts w:ascii="Arial" w:hAnsi="Arial" w:cs="Arial"/>
          <w:sz w:val="26"/>
          <w:szCs w:val="26"/>
        </w:rPr>
        <w:t>.</w:t>
      </w:r>
    </w:p>
    <w:p w:rsidR="005F7C0A" w:rsidRDefault="005F7C0A" w:rsidP="005F7C0A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5F7C0A">
        <w:rPr>
          <w:rFonts w:ascii="Arial" w:hAnsi="Arial" w:cs="Arial"/>
          <w:sz w:val="26"/>
          <w:szCs w:val="26"/>
        </w:rPr>
        <w:t xml:space="preserve">Obec komunikuje s velitelem policejních opatření nebo jím stanovenou osobou a oznámí mu, zda a jakými sílami a prostředky disponuje (SDH obce, zařízení civilní ochrany, organizace Českého červeného kříže atd.) a jaká případná opatření na ochranu obyvatelstva má podle havarijního plánu kraje připravena (místo evakuace, varování, prostředky nouzového přežití apod.). </w:t>
      </w:r>
      <w:r w:rsidRPr="005F7C0A">
        <w:rPr>
          <w:rFonts w:ascii="Arial" w:hAnsi="Arial" w:cs="Arial"/>
          <w:sz w:val="26"/>
          <w:szCs w:val="26"/>
        </w:rPr>
        <w:lastRenderedPageBreak/>
        <w:t>Podle potřeb velitele policejních opatření domluví spolupráci při předpokládaných opatřeních.</w:t>
      </w:r>
      <w:r w:rsidR="00515FA3">
        <w:rPr>
          <w:rStyle w:val="Znakapoznpodarou"/>
          <w:rFonts w:ascii="Arial" w:hAnsi="Arial" w:cs="Arial"/>
          <w:sz w:val="26"/>
          <w:szCs w:val="26"/>
        </w:rPr>
        <w:footnoteReference w:id="3"/>
      </w:r>
    </w:p>
    <w:p w:rsidR="00777C25" w:rsidRDefault="009D399D" w:rsidP="00777C25">
      <w:pPr>
        <w:pStyle w:val="Nadpis1"/>
        <w:numPr>
          <w:ilvl w:val="0"/>
          <w:numId w:val="5"/>
        </w:numPr>
        <w:ind w:left="357" w:hanging="357"/>
        <w:rPr>
          <w:rFonts w:ascii="Arial" w:hAnsi="Arial"/>
          <w:sz w:val="28"/>
          <w:u w:val="none"/>
        </w:rPr>
      </w:pPr>
      <w:bookmarkStart w:id="10" w:name="_Toc275264784"/>
      <w:r>
        <w:rPr>
          <w:rFonts w:ascii="Arial" w:hAnsi="Arial"/>
          <w:sz w:val="28"/>
          <w:u w:val="none"/>
        </w:rPr>
        <w:t>Typová činnost složek IZS při společném zásahu</w:t>
      </w:r>
      <w:bookmarkEnd w:id="10"/>
    </w:p>
    <w:p w:rsidR="00FC3E53" w:rsidRDefault="008A63C4" w:rsidP="008A63C4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A63C4">
        <w:rPr>
          <w:rFonts w:ascii="Arial" w:hAnsi="Arial" w:cs="Arial"/>
          <w:sz w:val="26"/>
          <w:szCs w:val="26"/>
        </w:rPr>
        <w:t>Od svého zahájení do svého ukončení, včetně přestávek a přerušení,</w:t>
      </w:r>
      <w:r>
        <w:rPr>
          <w:rFonts w:ascii="Arial" w:hAnsi="Arial" w:cs="Arial"/>
          <w:sz w:val="26"/>
          <w:szCs w:val="26"/>
        </w:rPr>
        <w:t xml:space="preserve"> </w:t>
      </w:r>
      <w:r w:rsidRPr="008A63C4">
        <w:rPr>
          <w:rFonts w:ascii="Arial" w:hAnsi="Arial" w:cs="Arial"/>
          <w:sz w:val="26"/>
          <w:szCs w:val="26"/>
        </w:rPr>
        <w:t>technopárty obvykle přesáhne dobu 12 hodin. Její účastníci se vlivem</w:t>
      </w:r>
      <w:r>
        <w:rPr>
          <w:rFonts w:ascii="Arial" w:hAnsi="Arial" w:cs="Arial"/>
          <w:sz w:val="26"/>
          <w:szCs w:val="26"/>
        </w:rPr>
        <w:t xml:space="preserve"> </w:t>
      </w:r>
      <w:r w:rsidRPr="008A63C4">
        <w:rPr>
          <w:rFonts w:ascii="Arial" w:hAnsi="Arial" w:cs="Arial"/>
          <w:sz w:val="26"/>
          <w:szCs w:val="26"/>
        </w:rPr>
        <w:t>hlasitosti hudby, únavy</w:t>
      </w:r>
      <w:r>
        <w:rPr>
          <w:rFonts w:ascii="Arial" w:hAnsi="Arial" w:cs="Arial"/>
          <w:sz w:val="26"/>
          <w:szCs w:val="26"/>
        </w:rPr>
        <w:t xml:space="preserve"> </w:t>
      </w:r>
      <w:r w:rsidRPr="008A63C4">
        <w:rPr>
          <w:rFonts w:ascii="Arial" w:hAnsi="Arial" w:cs="Arial"/>
          <w:sz w:val="26"/>
          <w:szCs w:val="26"/>
        </w:rPr>
        <w:t>z tance, nedostatku spánku a působením meteorologických podmínek dostávají do stavu určité</w:t>
      </w:r>
      <w:r>
        <w:rPr>
          <w:rFonts w:ascii="Arial" w:hAnsi="Arial" w:cs="Arial"/>
          <w:sz w:val="26"/>
          <w:szCs w:val="26"/>
        </w:rPr>
        <w:t xml:space="preserve"> </w:t>
      </w:r>
      <w:r w:rsidRPr="008A63C4">
        <w:rPr>
          <w:rFonts w:ascii="Arial" w:hAnsi="Arial" w:cs="Arial"/>
          <w:sz w:val="26"/>
          <w:szCs w:val="26"/>
        </w:rPr>
        <w:t>euforie až transu, což je často umocňováno požíváním alkoholu nebo psychotropních a jiných</w:t>
      </w:r>
      <w:r>
        <w:rPr>
          <w:rFonts w:ascii="Arial" w:hAnsi="Arial" w:cs="Arial"/>
          <w:sz w:val="26"/>
          <w:szCs w:val="26"/>
        </w:rPr>
        <w:t xml:space="preserve"> </w:t>
      </w:r>
      <w:r w:rsidRPr="008A63C4">
        <w:rPr>
          <w:rFonts w:ascii="Arial" w:hAnsi="Arial" w:cs="Arial"/>
          <w:sz w:val="26"/>
          <w:szCs w:val="26"/>
        </w:rPr>
        <w:t>omamných látek. V takovém stavu pak jsou účastníci snadno náchylní k</w:t>
      </w:r>
      <w:r>
        <w:rPr>
          <w:rFonts w:ascii="Arial" w:hAnsi="Arial" w:cs="Arial"/>
          <w:sz w:val="26"/>
          <w:szCs w:val="26"/>
        </w:rPr>
        <w:t> </w:t>
      </w:r>
      <w:r w:rsidRPr="008A63C4">
        <w:rPr>
          <w:rFonts w:ascii="Arial" w:hAnsi="Arial" w:cs="Arial"/>
          <w:sz w:val="26"/>
          <w:szCs w:val="26"/>
        </w:rPr>
        <w:t>nepředvídatelnému</w:t>
      </w:r>
      <w:r>
        <w:rPr>
          <w:rFonts w:ascii="Arial" w:hAnsi="Arial" w:cs="Arial"/>
          <w:sz w:val="26"/>
          <w:szCs w:val="26"/>
        </w:rPr>
        <w:t xml:space="preserve"> </w:t>
      </w:r>
      <w:r w:rsidRPr="008A63C4">
        <w:rPr>
          <w:rFonts w:ascii="Arial" w:hAnsi="Arial" w:cs="Arial"/>
          <w:sz w:val="26"/>
          <w:szCs w:val="26"/>
        </w:rPr>
        <w:t>chování hraničícímu s agresivitou vůči veřejným, zejména policejním orgánům. Rovněž v</w:t>
      </w:r>
      <w:r>
        <w:rPr>
          <w:rFonts w:ascii="Arial" w:hAnsi="Arial" w:cs="Arial"/>
          <w:sz w:val="26"/>
          <w:szCs w:val="26"/>
        </w:rPr>
        <w:t> </w:t>
      </w:r>
      <w:r w:rsidRPr="008A63C4">
        <w:rPr>
          <w:rFonts w:ascii="Arial" w:hAnsi="Arial" w:cs="Arial"/>
          <w:sz w:val="26"/>
          <w:szCs w:val="26"/>
        </w:rPr>
        <w:t>takovém</w:t>
      </w:r>
      <w:r>
        <w:rPr>
          <w:rFonts w:ascii="Arial" w:hAnsi="Arial" w:cs="Arial"/>
          <w:sz w:val="26"/>
          <w:szCs w:val="26"/>
        </w:rPr>
        <w:t xml:space="preserve"> </w:t>
      </w:r>
      <w:r w:rsidRPr="008A63C4">
        <w:rPr>
          <w:rFonts w:ascii="Arial" w:hAnsi="Arial" w:cs="Arial"/>
          <w:sz w:val="26"/>
          <w:szCs w:val="26"/>
        </w:rPr>
        <w:t>stavu jsou méně opatrní při zacházení s různými technickými zařízeními (stany a další tábornická</w:t>
      </w:r>
      <w:r>
        <w:rPr>
          <w:rFonts w:ascii="Arial" w:hAnsi="Arial" w:cs="Arial"/>
          <w:sz w:val="26"/>
          <w:szCs w:val="26"/>
        </w:rPr>
        <w:t xml:space="preserve"> </w:t>
      </w:r>
      <w:r w:rsidRPr="008A63C4">
        <w:rPr>
          <w:rFonts w:ascii="Arial" w:hAnsi="Arial" w:cs="Arial"/>
          <w:sz w:val="26"/>
          <w:szCs w:val="26"/>
        </w:rPr>
        <w:t>výbava, zábavní pyrotechnika, hudební zařízení apod.), což je chování podporující vznik</w:t>
      </w:r>
      <w:r>
        <w:rPr>
          <w:rFonts w:ascii="Arial" w:hAnsi="Arial" w:cs="Arial"/>
          <w:sz w:val="26"/>
          <w:szCs w:val="26"/>
        </w:rPr>
        <w:t xml:space="preserve"> </w:t>
      </w:r>
      <w:r w:rsidRPr="008A63C4">
        <w:rPr>
          <w:rFonts w:ascii="Arial" w:hAnsi="Arial" w:cs="Arial"/>
          <w:sz w:val="26"/>
          <w:szCs w:val="26"/>
        </w:rPr>
        <w:t>mimořádné události (MU) typu požáru stanů, motorových vozidel, hudebních elektrických zařízení</w:t>
      </w:r>
      <w:r>
        <w:rPr>
          <w:rFonts w:ascii="Arial" w:hAnsi="Arial" w:cs="Arial"/>
          <w:sz w:val="26"/>
          <w:szCs w:val="26"/>
        </w:rPr>
        <w:t xml:space="preserve"> </w:t>
      </w:r>
      <w:r w:rsidRPr="008A63C4">
        <w:rPr>
          <w:rFonts w:ascii="Arial" w:hAnsi="Arial" w:cs="Arial"/>
          <w:sz w:val="26"/>
          <w:szCs w:val="26"/>
        </w:rPr>
        <w:t>nebo výbuchu plynových vařičů apod. Rovněž jsou pravděpodobné MU způsobené dopravními</w:t>
      </w:r>
      <w:r>
        <w:rPr>
          <w:rFonts w:ascii="Arial" w:hAnsi="Arial" w:cs="Arial"/>
          <w:sz w:val="26"/>
          <w:szCs w:val="26"/>
        </w:rPr>
        <w:t xml:space="preserve"> </w:t>
      </w:r>
      <w:r w:rsidRPr="008A63C4">
        <w:rPr>
          <w:rFonts w:ascii="Arial" w:hAnsi="Arial" w:cs="Arial"/>
          <w:sz w:val="26"/>
          <w:szCs w:val="26"/>
        </w:rPr>
        <w:t>nehodami účastníků technopárty při příjezdech a odjezdech do míst v</w:t>
      </w:r>
      <w:r>
        <w:rPr>
          <w:rFonts w:ascii="Arial" w:hAnsi="Arial" w:cs="Arial"/>
          <w:sz w:val="26"/>
          <w:szCs w:val="26"/>
        </w:rPr>
        <w:t> </w:t>
      </w:r>
      <w:r w:rsidRPr="008A63C4">
        <w:rPr>
          <w:rFonts w:ascii="Arial" w:hAnsi="Arial" w:cs="Arial"/>
          <w:sz w:val="26"/>
          <w:szCs w:val="26"/>
        </w:rPr>
        <w:t>bezprostřední blízkosti</w:t>
      </w:r>
      <w:r>
        <w:rPr>
          <w:rFonts w:ascii="Arial" w:hAnsi="Arial" w:cs="Arial"/>
          <w:sz w:val="26"/>
          <w:szCs w:val="26"/>
        </w:rPr>
        <w:t xml:space="preserve"> </w:t>
      </w:r>
      <w:r w:rsidRPr="008A63C4">
        <w:rPr>
          <w:rFonts w:ascii="Arial" w:hAnsi="Arial" w:cs="Arial"/>
          <w:sz w:val="26"/>
          <w:szCs w:val="26"/>
        </w:rPr>
        <w:t>jejich konání. MU typu zranění osob mohou vznikat rovněž jako důsledek potyček mezi účastníky</w:t>
      </w:r>
      <w:r>
        <w:rPr>
          <w:rFonts w:ascii="Arial" w:hAnsi="Arial" w:cs="Arial"/>
          <w:sz w:val="26"/>
          <w:szCs w:val="26"/>
        </w:rPr>
        <w:t xml:space="preserve"> </w:t>
      </w:r>
      <w:r w:rsidRPr="008A63C4">
        <w:rPr>
          <w:rFonts w:ascii="Arial" w:hAnsi="Arial" w:cs="Arial"/>
          <w:sz w:val="26"/>
          <w:szCs w:val="26"/>
        </w:rPr>
        <w:t>nebo potyček s pořádkovými orgány. Dalším možným druhem MU je ohrožení životních podmínek</w:t>
      </w:r>
      <w:r>
        <w:rPr>
          <w:rFonts w:ascii="Arial" w:hAnsi="Arial" w:cs="Arial"/>
          <w:sz w:val="26"/>
          <w:szCs w:val="26"/>
        </w:rPr>
        <w:t xml:space="preserve"> </w:t>
      </w:r>
      <w:r w:rsidRPr="008A63C4">
        <w:rPr>
          <w:rFonts w:ascii="Arial" w:hAnsi="Arial" w:cs="Arial"/>
          <w:sz w:val="26"/>
          <w:szCs w:val="26"/>
        </w:rPr>
        <w:t xml:space="preserve">obyvatelstva nebo životního prostředí </w:t>
      </w:r>
      <w:r w:rsidR="005B3CE6">
        <w:rPr>
          <w:rFonts w:ascii="Arial" w:hAnsi="Arial" w:cs="Arial"/>
          <w:sz w:val="26"/>
          <w:szCs w:val="26"/>
        </w:rPr>
        <w:br/>
      </w:r>
      <w:r w:rsidRPr="008A63C4">
        <w:rPr>
          <w:rFonts w:ascii="Arial" w:hAnsi="Arial" w:cs="Arial"/>
          <w:sz w:val="26"/>
          <w:szCs w:val="26"/>
        </w:rPr>
        <w:t>v bezprostředním okolí technopárty, např. ohrožení jakosti</w:t>
      </w:r>
      <w:r>
        <w:rPr>
          <w:rFonts w:ascii="Arial" w:hAnsi="Arial" w:cs="Arial"/>
          <w:sz w:val="26"/>
          <w:szCs w:val="26"/>
        </w:rPr>
        <w:t xml:space="preserve"> </w:t>
      </w:r>
      <w:r w:rsidRPr="008A63C4">
        <w:rPr>
          <w:rFonts w:ascii="Arial" w:hAnsi="Arial" w:cs="Arial"/>
          <w:sz w:val="26"/>
          <w:szCs w:val="26"/>
        </w:rPr>
        <w:t>povrchových nebo podzemních vod, omezení zásobování apod. Pro technopárty je</w:t>
      </w:r>
      <w:r>
        <w:rPr>
          <w:rFonts w:ascii="Arial" w:hAnsi="Arial" w:cs="Arial"/>
          <w:sz w:val="26"/>
          <w:szCs w:val="26"/>
        </w:rPr>
        <w:t xml:space="preserve"> </w:t>
      </w:r>
      <w:r w:rsidRPr="008A63C4">
        <w:rPr>
          <w:rFonts w:ascii="Arial" w:hAnsi="Arial" w:cs="Arial"/>
          <w:sz w:val="26"/>
          <w:szCs w:val="26"/>
        </w:rPr>
        <w:t>charakteristické, že zpravidla nelze obecně předem urč</w:t>
      </w:r>
      <w:r w:rsidR="005F7C0A">
        <w:rPr>
          <w:rFonts w:ascii="Arial" w:hAnsi="Arial" w:cs="Arial"/>
          <w:sz w:val="26"/>
          <w:szCs w:val="26"/>
        </w:rPr>
        <w:t xml:space="preserve">it potřebu sil </w:t>
      </w:r>
      <w:r w:rsidR="005B3CE6">
        <w:rPr>
          <w:rFonts w:ascii="Arial" w:hAnsi="Arial" w:cs="Arial"/>
          <w:sz w:val="26"/>
          <w:szCs w:val="26"/>
        </w:rPr>
        <w:br/>
      </w:r>
      <w:r w:rsidR="005F7C0A">
        <w:rPr>
          <w:rFonts w:ascii="Arial" w:hAnsi="Arial" w:cs="Arial"/>
          <w:sz w:val="26"/>
          <w:szCs w:val="26"/>
        </w:rPr>
        <w:t>a prostředků</w:t>
      </w:r>
      <w:r w:rsidRPr="008A63C4">
        <w:rPr>
          <w:rFonts w:ascii="Arial" w:hAnsi="Arial" w:cs="Arial"/>
          <w:sz w:val="26"/>
          <w:szCs w:val="26"/>
        </w:rPr>
        <w:t xml:space="preserve"> pro</w:t>
      </w:r>
      <w:r>
        <w:rPr>
          <w:rFonts w:ascii="Arial" w:hAnsi="Arial" w:cs="Arial"/>
          <w:sz w:val="26"/>
          <w:szCs w:val="26"/>
        </w:rPr>
        <w:t xml:space="preserve"> </w:t>
      </w:r>
      <w:r w:rsidRPr="008A63C4">
        <w:rPr>
          <w:rFonts w:ascii="Arial" w:hAnsi="Arial" w:cs="Arial"/>
          <w:sz w:val="26"/>
          <w:szCs w:val="26"/>
        </w:rPr>
        <w:t>záchranné a práce a rozsah MU, kterou vyvolá. Další charakteristikou při technopárty hrozících MU</w:t>
      </w:r>
      <w:r>
        <w:rPr>
          <w:rFonts w:ascii="Arial" w:hAnsi="Arial" w:cs="Arial"/>
          <w:sz w:val="26"/>
          <w:szCs w:val="26"/>
        </w:rPr>
        <w:t xml:space="preserve"> </w:t>
      </w:r>
      <w:r w:rsidRPr="008A63C4">
        <w:rPr>
          <w:rFonts w:ascii="Arial" w:hAnsi="Arial" w:cs="Arial"/>
          <w:sz w:val="26"/>
          <w:szCs w:val="26"/>
        </w:rPr>
        <w:t>je to, že souběžně se záchrannými a likvidačními pracemi musí často probíhat vyšetřování</w:t>
      </w:r>
      <w:r>
        <w:rPr>
          <w:rFonts w:ascii="Arial" w:hAnsi="Arial" w:cs="Arial"/>
          <w:sz w:val="26"/>
          <w:szCs w:val="26"/>
        </w:rPr>
        <w:t xml:space="preserve"> </w:t>
      </w:r>
      <w:r w:rsidRPr="008A63C4">
        <w:rPr>
          <w:rFonts w:ascii="Arial" w:hAnsi="Arial" w:cs="Arial"/>
          <w:sz w:val="26"/>
          <w:szCs w:val="26"/>
        </w:rPr>
        <w:t>případné trestné činnosti prováděné orgány činnými v trestním řízení, a že jsou obvykle mediálně</w:t>
      </w:r>
      <w:r>
        <w:rPr>
          <w:rFonts w:ascii="Arial" w:hAnsi="Arial" w:cs="Arial"/>
          <w:sz w:val="26"/>
          <w:szCs w:val="26"/>
        </w:rPr>
        <w:t xml:space="preserve"> </w:t>
      </w:r>
      <w:r w:rsidRPr="008A63C4">
        <w:rPr>
          <w:rFonts w:ascii="Arial" w:hAnsi="Arial" w:cs="Arial"/>
          <w:sz w:val="26"/>
          <w:szCs w:val="26"/>
        </w:rPr>
        <w:t>zachycovány. Je tedy nutné věnovat zvýšenou pozornost dokumentaci činnosti složek IZS.</w:t>
      </w:r>
      <w:r>
        <w:rPr>
          <w:rStyle w:val="Znakapoznpodarou"/>
          <w:rFonts w:ascii="Arial" w:hAnsi="Arial" w:cs="Arial"/>
          <w:sz w:val="26"/>
          <w:szCs w:val="26"/>
        </w:rPr>
        <w:footnoteReference w:id="4"/>
      </w:r>
    </w:p>
    <w:p w:rsidR="00EE0610" w:rsidRDefault="00EE0610" w:rsidP="008A63C4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Řídící a koordinační složkou je Policie ČR a na taktické úrovni je zásah rozdělen do dvou sektorů. Sektor 1 zahrnuje přípravu a provádění opatření na ochranu veřejného pořádku a sektor 2 zahrnuje přípravu a provádění záchranných a likvidačních prací složkami IZS, kterým velí příslušník HZS kraje.</w:t>
      </w:r>
      <w:r w:rsidR="009B661C">
        <w:rPr>
          <w:rFonts w:ascii="Arial" w:hAnsi="Arial" w:cs="Arial"/>
          <w:sz w:val="26"/>
          <w:szCs w:val="26"/>
        </w:rPr>
        <w:t xml:space="preserve"> </w:t>
      </w:r>
      <w:r w:rsidR="009B661C" w:rsidRPr="009B661C">
        <w:rPr>
          <w:rFonts w:ascii="Arial" w:hAnsi="Arial" w:cs="Arial"/>
          <w:sz w:val="26"/>
          <w:szCs w:val="26"/>
        </w:rPr>
        <w:t>P</w:t>
      </w:r>
      <w:r w:rsidR="009B661C">
        <w:rPr>
          <w:rFonts w:ascii="Arial" w:hAnsi="Arial" w:cs="Arial"/>
          <w:sz w:val="26"/>
          <w:szCs w:val="26"/>
        </w:rPr>
        <w:t>o vyhodnocení závažnosti MU může být velitelem zásahu zřízen, jako výkonný orgán, štáb, v němž mohou působit příslušníci Policie ČR pro zajištění analýzy zásahové situace a vedení dokumentace zásahu, příslušníci ze specializovaných pracovišť, velitel jednotek PO, vedoucí lékař nebo delegovaný zástupce Zdravotnické záchranné služby, zástupce obce, zástupci ostatních složek IZS a případně ostatní právnické a fyzické osoby, které je možné využít k poskytnutí osobní a věcné pomoci</w:t>
      </w:r>
      <w:r w:rsidR="00E667AA">
        <w:rPr>
          <w:rFonts w:ascii="Arial" w:hAnsi="Arial" w:cs="Arial"/>
          <w:sz w:val="26"/>
          <w:szCs w:val="26"/>
        </w:rPr>
        <w:t xml:space="preserve"> (například lesníci, správce komunikací, osoby měřící intenzitu hluku apod.</w:t>
      </w:r>
      <w:r w:rsidR="00E90A31">
        <w:rPr>
          <w:rFonts w:ascii="Arial" w:hAnsi="Arial" w:cs="Arial"/>
          <w:sz w:val="26"/>
          <w:szCs w:val="26"/>
        </w:rPr>
        <w:t>).</w:t>
      </w:r>
    </w:p>
    <w:p w:rsidR="009C44FA" w:rsidRDefault="009C44FA" w:rsidP="009C44FA">
      <w:pPr>
        <w:pStyle w:val="Nadpis1"/>
        <w:numPr>
          <w:ilvl w:val="0"/>
          <w:numId w:val="5"/>
        </w:numPr>
        <w:ind w:left="357" w:hanging="357"/>
        <w:rPr>
          <w:rFonts w:ascii="Arial" w:hAnsi="Arial"/>
          <w:sz w:val="28"/>
          <w:u w:val="none"/>
        </w:rPr>
      </w:pPr>
      <w:bookmarkStart w:id="11" w:name="_Toc275264785"/>
      <w:r>
        <w:rPr>
          <w:rFonts w:ascii="Arial" w:hAnsi="Arial"/>
          <w:sz w:val="28"/>
          <w:u w:val="none"/>
        </w:rPr>
        <w:t>Závěr</w:t>
      </w:r>
      <w:bookmarkEnd w:id="11"/>
    </w:p>
    <w:p w:rsidR="00F02958" w:rsidRDefault="002D221D" w:rsidP="002D221D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D221D">
        <w:rPr>
          <w:rFonts w:ascii="Arial" w:hAnsi="Arial" w:cs="Arial"/>
          <w:sz w:val="26"/>
          <w:szCs w:val="26"/>
        </w:rPr>
        <w:t>Czechtek 2006 se po zkušenostech z předchozího ročníku stáhl do legálně</w:t>
      </w:r>
      <w:r>
        <w:rPr>
          <w:rFonts w:ascii="Arial" w:hAnsi="Arial" w:cs="Arial"/>
          <w:sz w:val="26"/>
          <w:szCs w:val="26"/>
        </w:rPr>
        <w:t xml:space="preserve"> </w:t>
      </w:r>
      <w:r w:rsidRPr="002D221D">
        <w:rPr>
          <w:rFonts w:ascii="Arial" w:hAnsi="Arial" w:cs="Arial"/>
          <w:sz w:val="26"/>
          <w:szCs w:val="26"/>
        </w:rPr>
        <w:t>pronajatého prostoru vojenského újezdu Hradiště v Doupovských horách. Účast byla masivní, odhady hovořily o 40 000 – 50 000 účastníků. Legální základ akce vedl</w:t>
      </w:r>
      <w:r>
        <w:rPr>
          <w:rFonts w:ascii="Arial" w:hAnsi="Arial" w:cs="Arial"/>
          <w:sz w:val="26"/>
          <w:szCs w:val="26"/>
        </w:rPr>
        <w:t xml:space="preserve"> </w:t>
      </w:r>
      <w:r w:rsidRPr="002D221D">
        <w:rPr>
          <w:rFonts w:ascii="Arial" w:hAnsi="Arial" w:cs="Arial"/>
          <w:sz w:val="26"/>
          <w:szCs w:val="26"/>
        </w:rPr>
        <w:t>k bezproblémovému chodu celé party, policie pouze dohlížela, řídila dopravu a nijak se</w:t>
      </w:r>
      <w:r>
        <w:rPr>
          <w:rFonts w:ascii="Arial" w:hAnsi="Arial" w:cs="Arial"/>
          <w:sz w:val="26"/>
          <w:szCs w:val="26"/>
        </w:rPr>
        <w:t xml:space="preserve"> do chodu pá</w:t>
      </w:r>
      <w:r w:rsidRPr="002D221D">
        <w:rPr>
          <w:rFonts w:ascii="Arial" w:hAnsi="Arial" w:cs="Arial"/>
          <w:sz w:val="26"/>
          <w:szCs w:val="26"/>
        </w:rPr>
        <w:t>rty nevměšo</w:t>
      </w:r>
      <w:r>
        <w:rPr>
          <w:rFonts w:ascii="Arial" w:hAnsi="Arial" w:cs="Arial"/>
          <w:sz w:val="26"/>
          <w:szCs w:val="26"/>
        </w:rPr>
        <w:t>vala. Naopak, účastníci technopá</w:t>
      </w:r>
      <w:r w:rsidRPr="002D221D">
        <w:rPr>
          <w:rFonts w:ascii="Arial" w:hAnsi="Arial" w:cs="Arial"/>
          <w:sz w:val="26"/>
          <w:szCs w:val="26"/>
        </w:rPr>
        <w:t>rty s policií aktivně</w:t>
      </w:r>
      <w:r>
        <w:rPr>
          <w:rFonts w:ascii="Arial" w:hAnsi="Arial" w:cs="Arial"/>
          <w:sz w:val="26"/>
          <w:szCs w:val="26"/>
        </w:rPr>
        <w:t xml:space="preserve"> </w:t>
      </w:r>
      <w:r w:rsidRPr="002D221D">
        <w:rPr>
          <w:rFonts w:ascii="Arial" w:hAnsi="Arial" w:cs="Arial"/>
          <w:sz w:val="26"/>
          <w:szCs w:val="26"/>
        </w:rPr>
        <w:t>spolupracovali. Technaři po skončení akce pomohli s úklidem prostoru a celou technop</w:t>
      </w:r>
      <w:r>
        <w:rPr>
          <w:rFonts w:ascii="Arial" w:hAnsi="Arial" w:cs="Arial"/>
          <w:sz w:val="26"/>
          <w:szCs w:val="26"/>
        </w:rPr>
        <w:t>á</w:t>
      </w:r>
      <w:r w:rsidRPr="002D221D">
        <w:rPr>
          <w:rFonts w:ascii="Arial" w:hAnsi="Arial" w:cs="Arial"/>
          <w:sz w:val="26"/>
          <w:szCs w:val="26"/>
        </w:rPr>
        <w:t xml:space="preserve">rty </w:t>
      </w:r>
      <w:r>
        <w:rPr>
          <w:rFonts w:ascii="Arial" w:hAnsi="Arial" w:cs="Arial"/>
          <w:sz w:val="26"/>
          <w:szCs w:val="26"/>
        </w:rPr>
        <w:t>lze h</w:t>
      </w:r>
      <w:r w:rsidRPr="002D221D">
        <w:rPr>
          <w:rFonts w:ascii="Arial" w:hAnsi="Arial" w:cs="Arial"/>
          <w:sz w:val="26"/>
          <w:szCs w:val="26"/>
        </w:rPr>
        <w:t>odnotit jako bezproblémovou.</w:t>
      </w:r>
    </w:p>
    <w:p w:rsidR="002D221D" w:rsidRDefault="002D221D" w:rsidP="002D221D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Důsledkem bezproblémové a pod policejním dohledem konané technopárty Czechtek 2006 bylo paradoxně její zrušení organizátory v roce 2007 s odůvodněním, že Czechtek ztratil svou původní myšlenku freetekna. Organizátoři však nevyloučili konání menších technopárty. Ty se také již třetí rok pořádají, avšak s malým nebo žádným zájmem médií.</w:t>
      </w:r>
    </w:p>
    <w:p w:rsidR="002D221D" w:rsidRDefault="002D221D" w:rsidP="002D221D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Lze tedy říci, že za dvanáct ročníků konání velkých technopárty se dokázaly složky IZS konečně připravit na způsob provádění činností vedoucích k zajištění veřejného pořádku, ochraně životů, zdraví a majetku při takovýchto akcích, které se však již přesunuly na východ od naší republiky.</w:t>
      </w:r>
    </w:p>
    <w:p w:rsidR="002D221D" w:rsidRDefault="002D221D" w:rsidP="002D221D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 </w:t>
      </w:r>
    </w:p>
    <w:p w:rsidR="009C44FA" w:rsidRDefault="009C44FA" w:rsidP="009C44FA">
      <w:pPr>
        <w:pStyle w:val="Nadpis1"/>
        <w:numPr>
          <w:ilvl w:val="0"/>
          <w:numId w:val="5"/>
        </w:numPr>
        <w:ind w:left="357" w:hanging="357"/>
        <w:rPr>
          <w:rFonts w:ascii="Arial" w:hAnsi="Arial"/>
          <w:sz w:val="28"/>
          <w:u w:val="none"/>
        </w:rPr>
      </w:pPr>
      <w:bookmarkStart w:id="12" w:name="OLE_LINK1"/>
      <w:bookmarkStart w:id="13" w:name="OLE_LINK2"/>
      <w:bookmarkStart w:id="14" w:name="_Toc275264786"/>
      <w:r>
        <w:rPr>
          <w:rFonts w:ascii="Arial" w:hAnsi="Arial"/>
          <w:sz w:val="28"/>
          <w:u w:val="none"/>
        </w:rPr>
        <w:t>Použitá literatura</w:t>
      </w:r>
      <w:bookmarkEnd w:id="14"/>
    </w:p>
    <w:bookmarkEnd w:id="12"/>
    <w:bookmarkEnd w:id="13"/>
    <w:p w:rsidR="00930388" w:rsidRDefault="00A35989" w:rsidP="008C45B4">
      <w:pPr>
        <w:numPr>
          <w:ilvl w:val="2"/>
          <w:numId w:val="5"/>
        </w:numPr>
        <w:spacing w:before="120" w:after="120" w:line="360" w:lineRule="auto"/>
        <w:jc w:val="both"/>
        <w:rPr>
          <w:rFonts w:ascii="Arial" w:hAnsi="Arial" w:cs="Arial"/>
          <w:sz w:val="26"/>
          <w:szCs w:val="26"/>
        </w:rPr>
      </w:pPr>
      <w:r w:rsidRPr="00A35989">
        <w:rPr>
          <w:rFonts w:ascii="Arial" w:hAnsi="Arial" w:cs="Arial"/>
          <w:sz w:val="26"/>
          <w:szCs w:val="26"/>
        </w:rPr>
        <w:t>POLICEJNÍ PREZIDIUM ČR, Katalogový soubor typové činnosti STČ-06/IZS, Praha 2006</w:t>
      </w:r>
    </w:p>
    <w:p w:rsidR="00A35989" w:rsidRDefault="00A35989" w:rsidP="008C45B4">
      <w:pPr>
        <w:numPr>
          <w:ilvl w:val="2"/>
          <w:numId w:val="5"/>
        </w:numPr>
        <w:spacing w:before="120" w:after="120"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LEDABYL, Ondřej. </w:t>
      </w:r>
      <w:r>
        <w:rPr>
          <w:rFonts w:ascii="Arial" w:hAnsi="Arial" w:cs="Arial"/>
          <w:i/>
          <w:sz w:val="26"/>
          <w:szCs w:val="26"/>
        </w:rPr>
        <w:t xml:space="preserve">Politizace a sekuritizace techno kultury v ČR – diplomová práce, </w:t>
      </w:r>
      <w:r>
        <w:rPr>
          <w:rFonts w:ascii="Arial" w:hAnsi="Arial" w:cs="Arial"/>
          <w:sz w:val="26"/>
          <w:szCs w:val="26"/>
        </w:rPr>
        <w:t>Brno, 2007</w:t>
      </w:r>
    </w:p>
    <w:sectPr w:rsidR="00A35989" w:rsidSect="002B2627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E3D" w:rsidRDefault="00722E3D" w:rsidP="00505679">
      <w:r>
        <w:separator/>
      </w:r>
    </w:p>
  </w:endnote>
  <w:endnote w:type="continuationSeparator" w:id="0">
    <w:p w:rsidR="00722E3D" w:rsidRDefault="00722E3D" w:rsidP="00505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CE6" w:rsidRDefault="005B3CE6">
    <w:pPr>
      <w:pStyle w:val="Zpat"/>
      <w:jc w:val="right"/>
    </w:pPr>
    <w:fldSimple w:instr=" PAGE   \* MERGEFORMAT ">
      <w:r w:rsidR="00AE6E96">
        <w:rPr>
          <w:noProof/>
        </w:rPr>
        <w:t>2</w:t>
      </w:r>
    </w:fldSimple>
  </w:p>
  <w:p w:rsidR="005B3CE6" w:rsidRDefault="005B3CE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E3D" w:rsidRDefault="00722E3D" w:rsidP="00505679">
      <w:r>
        <w:separator/>
      </w:r>
    </w:p>
  </w:footnote>
  <w:footnote w:type="continuationSeparator" w:id="0">
    <w:p w:rsidR="00722E3D" w:rsidRDefault="00722E3D" w:rsidP="00505679">
      <w:r>
        <w:continuationSeparator/>
      </w:r>
    </w:p>
  </w:footnote>
  <w:footnote w:id="1">
    <w:p w:rsidR="005B3CE6" w:rsidRDefault="005B3CE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72587E">
          <w:rPr>
            <w:rStyle w:val="Hypertextovodkaz"/>
          </w:rPr>
          <w:t>http://is.muni.cz/th/64826/fss_m_b1/Ledabyl_diplomova_prace_64826.pdf</w:t>
        </w:r>
      </w:hyperlink>
    </w:p>
    <w:p w:rsidR="005B3CE6" w:rsidRDefault="005B3CE6">
      <w:pPr>
        <w:pStyle w:val="Textpoznpodarou"/>
      </w:pPr>
    </w:p>
  </w:footnote>
  <w:footnote w:id="2">
    <w:p w:rsidR="005B3CE6" w:rsidRDefault="005B3CE6" w:rsidP="009607AC">
      <w:pPr>
        <w:pStyle w:val="Textpoznpodarou"/>
      </w:pPr>
      <w:r>
        <w:rPr>
          <w:rStyle w:val="Znakapoznpodarou"/>
        </w:rPr>
        <w:footnoteRef/>
      </w:r>
      <w:r>
        <w:t xml:space="preserve"> http://www.katerinajacques.cz/11/0/327/detail/23-</w:t>
      </w:r>
    </w:p>
    <w:p w:rsidR="005B3CE6" w:rsidRDefault="005B3CE6" w:rsidP="009607AC">
      <w:pPr>
        <w:pStyle w:val="Textpoznpodarou"/>
      </w:pPr>
      <w:r>
        <w:t>3-2007---ministr-vnitra-odpovedel-na-otevreny-dopis-kateriny-jacques-k-zasahu-policie-cr-natechnoparty-</w:t>
      </w:r>
    </w:p>
    <w:p w:rsidR="005B3CE6" w:rsidRDefault="005B3CE6" w:rsidP="009607AC">
      <w:pPr>
        <w:pStyle w:val="Textpoznpodarou"/>
      </w:pPr>
      <w:r>
        <w:t xml:space="preserve">czechtek-2005/ </w:t>
      </w:r>
    </w:p>
  </w:footnote>
  <w:footnote w:id="3">
    <w:p w:rsidR="005B3CE6" w:rsidRDefault="005B3CE6">
      <w:pPr>
        <w:pStyle w:val="Textpoznpodarou"/>
      </w:pPr>
      <w:r>
        <w:rPr>
          <w:rStyle w:val="Znakapoznpodarou"/>
        </w:rPr>
        <w:footnoteRef/>
      </w:r>
      <w:r>
        <w:t xml:space="preserve"> POLICEJNÍ PREZIDIUM ČR, </w:t>
      </w:r>
      <w:r>
        <w:rPr>
          <w:i/>
        </w:rPr>
        <w:t>Katalogový soubor typové činnosti STČ-06/IZS</w:t>
      </w:r>
      <w:r>
        <w:t>, Praha 2006, str. 16</w:t>
      </w:r>
    </w:p>
  </w:footnote>
  <w:footnote w:id="4">
    <w:p w:rsidR="005B3CE6" w:rsidRPr="008A63C4" w:rsidRDefault="005B3CE6">
      <w:pPr>
        <w:pStyle w:val="Textpoznpodarou"/>
      </w:pPr>
      <w:r>
        <w:rPr>
          <w:rStyle w:val="Znakapoznpodarou"/>
        </w:rPr>
        <w:footnoteRef/>
      </w:r>
      <w:r>
        <w:t xml:space="preserve"> POLICEJNÍ PREZIDIUM ČR, </w:t>
      </w:r>
      <w:r>
        <w:rPr>
          <w:i/>
        </w:rPr>
        <w:t>Katalogový soubor typové činnosti STČ-06/IZS</w:t>
      </w:r>
      <w:r>
        <w:t xml:space="preserve">, Praha 2006, str. 1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007E6"/>
    <w:multiLevelType w:val="multilevel"/>
    <w:tmpl w:val="9C087F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8A6335D"/>
    <w:multiLevelType w:val="hybridMultilevel"/>
    <w:tmpl w:val="7A6C1B5E"/>
    <w:lvl w:ilvl="0" w:tplc="66B23C3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497918"/>
    <w:multiLevelType w:val="hybridMultilevel"/>
    <w:tmpl w:val="AF98E356"/>
    <w:lvl w:ilvl="0" w:tplc="EF5069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8CD2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AA6FC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4239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386A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FE7D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2F860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D0B7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EE6A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5DE3BBC"/>
    <w:multiLevelType w:val="hybridMultilevel"/>
    <w:tmpl w:val="9DFEB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936B28"/>
    <w:multiLevelType w:val="hybridMultilevel"/>
    <w:tmpl w:val="7B9EEC0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1A61123"/>
    <w:multiLevelType w:val="hybridMultilevel"/>
    <w:tmpl w:val="425E825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0A310F6"/>
    <w:multiLevelType w:val="hybridMultilevel"/>
    <w:tmpl w:val="E18A1E2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058320B"/>
    <w:multiLevelType w:val="hybridMultilevel"/>
    <w:tmpl w:val="1E0C0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10EFE"/>
    <w:multiLevelType w:val="hybridMultilevel"/>
    <w:tmpl w:val="922297A6"/>
    <w:lvl w:ilvl="0" w:tplc="E91674CE">
      <w:start w:val="1"/>
      <w:numFmt w:val="bullet"/>
      <w:lvlText w:val="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4E85"/>
    <w:rsid w:val="00003E21"/>
    <w:rsid w:val="00015BC2"/>
    <w:rsid w:val="00090A24"/>
    <w:rsid w:val="000B5271"/>
    <w:rsid w:val="000B5A6C"/>
    <w:rsid w:val="000B6287"/>
    <w:rsid w:val="000D5A48"/>
    <w:rsid w:val="000E1113"/>
    <w:rsid w:val="000E3934"/>
    <w:rsid w:val="000E5255"/>
    <w:rsid w:val="00116111"/>
    <w:rsid w:val="001227F8"/>
    <w:rsid w:val="0012335E"/>
    <w:rsid w:val="001338BB"/>
    <w:rsid w:val="001379D1"/>
    <w:rsid w:val="00146912"/>
    <w:rsid w:val="001544E5"/>
    <w:rsid w:val="0016183A"/>
    <w:rsid w:val="001A2B03"/>
    <w:rsid w:val="001C6850"/>
    <w:rsid w:val="001D14FB"/>
    <w:rsid w:val="00204B52"/>
    <w:rsid w:val="00212885"/>
    <w:rsid w:val="002223EF"/>
    <w:rsid w:val="00251576"/>
    <w:rsid w:val="002704CA"/>
    <w:rsid w:val="00274D53"/>
    <w:rsid w:val="00276F04"/>
    <w:rsid w:val="00293C33"/>
    <w:rsid w:val="002A2E2E"/>
    <w:rsid w:val="002B2627"/>
    <w:rsid w:val="002D221D"/>
    <w:rsid w:val="002D672D"/>
    <w:rsid w:val="002E696B"/>
    <w:rsid w:val="00326706"/>
    <w:rsid w:val="003317D8"/>
    <w:rsid w:val="003410D5"/>
    <w:rsid w:val="003536EA"/>
    <w:rsid w:val="00353E89"/>
    <w:rsid w:val="003A496B"/>
    <w:rsid w:val="003C3A04"/>
    <w:rsid w:val="003D1EC4"/>
    <w:rsid w:val="003F6637"/>
    <w:rsid w:val="004071A3"/>
    <w:rsid w:val="00416894"/>
    <w:rsid w:val="00416B51"/>
    <w:rsid w:val="00421526"/>
    <w:rsid w:val="00472F11"/>
    <w:rsid w:val="00485E40"/>
    <w:rsid w:val="004D05DB"/>
    <w:rsid w:val="004F1D5B"/>
    <w:rsid w:val="004F5927"/>
    <w:rsid w:val="00505679"/>
    <w:rsid w:val="00515FA3"/>
    <w:rsid w:val="00542504"/>
    <w:rsid w:val="00555834"/>
    <w:rsid w:val="005635E5"/>
    <w:rsid w:val="00566519"/>
    <w:rsid w:val="00572F2D"/>
    <w:rsid w:val="005A40D6"/>
    <w:rsid w:val="005A5A15"/>
    <w:rsid w:val="005A728F"/>
    <w:rsid w:val="005B049A"/>
    <w:rsid w:val="005B3CE6"/>
    <w:rsid w:val="005C5C81"/>
    <w:rsid w:val="005D1851"/>
    <w:rsid w:val="005F0DB9"/>
    <w:rsid w:val="005F7C0A"/>
    <w:rsid w:val="006009E7"/>
    <w:rsid w:val="00623550"/>
    <w:rsid w:val="00672A43"/>
    <w:rsid w:val="00674B45"/>
    <w:rsid w:val="006A6B19"/>
    <w:rsid w:val="00705F4E"/>
    <w:rsid w:val="00722E3D"/>
    <w:rsid w:val="00747FA2"/>
    <w:rsid w:val="00750D8B"/>
    <w:rsid w:val="00757842"/>
    <w:rsid w:val="00765A5E"/>
    <w:rsid w:val="00767171"/>
    <w:rsid w:val="00777C25"/>
    <w:rsid w:val="007B67CD"/>
    <w:rsid w:val="007D7A4F"/>
    <w:rsid w:val="007E6D41"/>
    <w:rsid w:val="007F280A"/>
    <w:rsid w:val="00823350"/>
    <w:rsid w:val="008250E0"/>
    <w:rsid w:val="008714A8"/>
    <w:rsid w:val="00875431"/>
    <w:rsid w:val="0088046C"/>
    <w:rsid w:val="00886D16"/>
    <w:rsid w:val="008A12C1"/>
    <w:rsid w:val="008A63C4"/>
    <w:rsid w:val="008C45B4"/>
    <w:rsid w:val="008D40D3"/>
    <w:rsid w:val="008D4DE6"/>
    <w:rsid w:val="008D5BFE"/>
    <w:rsid w:val="008D5FF4"/>
    <w:rsid w:val="008D7955"/>
    <w:rsid w:val="008E5CEB"/>
    <w:rsid w:val="008F6AB1"/>
    <w:rsid w:val="008F73D4"/>
    <w:rsid w:val="00921145"/>
    <w:rsid w:val="0092692C"/>
    <w:rsid w:val="00930388"/>
    <w:rsid w:val="009520BB"/>
    <w:rsid w:val="009538C9"/>
    <w:rsid w:val="00954251"/>
    <w:rsid w:val="009607AC"/>
    <w:rsid w:val="00960D8C"/>
    <w:rsid w:val="00976163"/>
    <w:rsid w:val="009B661C"/>
    <w:rsid w:val="009C44FA"/>
    <w:rsid w:val="009D399D"/>
    <w:rsid w:val="00A2673B"/>
    <w:rsid w:val="00A35989"/>
    <w:rsid w:val="00A36C56"/>
    <w:rsid w:val="00A607B3"/>
    <w:rsid w:val="00A647FD"/>
    <w:rsid w:val="00A744A5"/>
    <w:rsid w:val="00AB3EB7"/>
    <w:rsid w:val="00AC0730"/>
    <w:rsid w:val="00AD4BC9"/>
    <w:rsid w:val="00AE6610"/>
    <w:rsid w:val="00AE6E96"/>
    <w:rsid w:val="00AF7139"/>
    <w:rsid w:val="00B04FCE"/>
    <w:rsid w:val="00B1783B"/>
    <w:rsid w:val="00B23D8F"/>
    <w:rsid w:val="00B537DC"/>
    <w:rsid w:val="00B53B47"/>
    <w:rsid w:val="00B55C68"/>
    <w:rsid w:val="00B55C94"/>
    <w:rsid w:val="00B7726A"/>
    <w:rsid w:val="00B86AF4"/>
    <w:rsid w:val="00BC70C1"/>
    <w:rsid w:val="00BF178B"/>
    <w:rsid w:val="00C122BF"/>
    <w:rsid w:val="00C47080"/>
    <w:rsid w:val="00C67930"/>
    <w:rsid w:val="00C93AA6"/>
    <w:rsid w:val="00CA3895"/>
    <w:rsid w:val="00CA42A4"/>
    <w:rsid w:val="00CD5AC7"/>
    <w:rsid w:val="00CD7CF7"/>
    <w:rsid w:val="00CE52F1"/>
    <w:rsid w:val="00CF6C07"/>
    <w:rsid w:val="00D04E85"/>
    <w:rsid w:val="00D1562C"/>
    <w:rsid w:val="00D15A45"/>
    <w:rsid w:val="00D24B43"/>
    <w:rsid w:val="00D32121"/>
    <w:rsid w:val="00D408A3"/>
    <w:rsid w:val="00D44C9C"/>
    <w:rsid w:val="00D45649"/>
    <w:rsid w:val="00D55F62"/>
    <w:rsid w:val="00D653B7"/>
    <w:rsid w:val="00D90284"/>
    <w:rsid w:val="00DA553E"/>
    <w:rsid w:val="00DC7CA5"/>
    <w:rsid w:val="00DD12AD"/>
    <w:rsid w:val="00DE185D"/>
    <w:rsid w:val="00DE6BC2"/>
    <w:rsid w:val="00DE6E9E"/>
    <w:rsid w:val="00DF4C86"/>
    <w:rsid w:val="00DF503A"/>
    <w:rsid w:val="00E10D76"/>
    <w:rsid w:val="00E24FC8"/>
    <w:rsid w:val="00E53E80"/>
    <w:rsid w:val="00E667AA"/>
    <w:rsid w:val="00E70264"/>
    <w:rsid w:val="00E856DF"/>
    <w:rsid w:val="00E90A31"/>
    <w:rsid w:val="00E90B2B"/>
    <w:rsid w:val="00E93846"/>
    <w:rsid w:val="00ED750D"/>
    <w:rsid w:val="00EE0610"/>
    <w:rsid w:val="00EE34EF"/>
    <w:rsid w:val="00EE4196"/>
    <w:rsid w:val="00EF5123"/>
    <w:rsid w:val="00F02958"/>
    <w:rsid w:val="00F16E84"/>
    <w:rsid w:val="00F23F97"/>
    <w:rsid w:val="00F25591"/>
    <w:rsid w:val="00F44837"/>
    <w:rsid w:val="00F50FD8"/>
    <w:rsid w:val="00F829A8"/>
    <w:rsid w:val="00F93850"/>
    <w:rsid w:val="00FA4B9A"/>
    <w:rsid w:val="00FC3E53"/>
    <w:rsid w:val="00FD0E47"/>
    <w:rsid w:val="00FE341A"/>
    <w:rsid w:val="00FF1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4E85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EE34EF"/>
    <w:pPr>
      <w:keepNext/>
      <w:spacing w:before="120" w:after="120"/>
      <w:outlineLvl w:val="0"/>
    </w:pPr>
    <w:rPr>
      <w:rFonts w:cs="Arial"/>
      <w:b/>
      <w:bCs/>
      <w:u w:val="double"/>
    </w:rPr>
  </w:style>
  <w:style w:type="paragraph" w:styleId="Nadpis2">
    <w:name w:val="heading 2"/>
    <w:basedOn w:val="Normln"/>
    <w:next w:val="Normln"/>
    <w:link w:val="Nadpis2Char"/>
    <w:uiPriority w:val="9"/>
    <w:qFormat/>
    <w:rsid w:val="001D14F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B55C9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E34EF"/>
    <w:rPr>
      <w:rFonts w:ascii="Tahoma" w:eastAsia="Calibri" w:hAnsi="Tahoma" w:cs="Arial"/>
      <w:b/>
      <w:bCs/>
      <w:u w:val="double"/>
    </w:rPr>
  </w:style>
  <w:style w:type="paragraph" w:styleId="FormtovanvHTML">
    <w:name w:val="HTML Preformatted"/>
    <w:basedOn w:val="Normln"/>
    <w:link w:val="FormtovanvHTMLChar"/>
    <w:rsid w:val="004D0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rsid w:val="004D05DB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5C94"/>
    <w:rPr>
      <w:rFonts w:ascii="Cambria" w:eastAsia="Times New Roman" w:hAnsi="Cambria" w:cs="Times New Roman"/>
      <w:b/>
      <w:bCs/>
      <w:sz w:val="26"/>
      <w:szCs w:val="26"/>
    </w:rPr>
  </w:style>
  <w:style w:type="paragraph" w:styleId="Zkladntext">
    <w:name w:val="Body Text"/>
    <w:basedOn w:val="Normln"/>
    <w:link w:val="ZkladntextChar"/>
    <w:rsid w:val="00B55C94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B55C94"/>
    <w:rPr>
      <w:rFonts w:ascii="Times New Roman" w:eastAsia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1D14F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zev">
    <w:name w:val="Title"/>
    <w:basedOn w:val="Normln"/>
    <w:next w:val="Podtitul"/>
    <w:link w:val="NzevChar"/>
    <w:qFormat/>
    <w:rsid w:val="00674B45"/>
    <w:pPr>
      <w:suppressAutoHyphens/>
      <w:spacing w:line="100" w:lineRule="atLeast"/>
      <w:jc w:val="center"/>
    </w:pPr>
    <w:rPr>
      <w:sz w:val="32"/>
      <w:lang w:eastAsia="ar-SA"/>
    </w:rPr>
  </w:style>
  <w:style w:type="character" w:customStyle="1" w:styleId="NzevChar">
    <w:name w:val="Název Char"/>
    <w:basedOn w:val="Standardnpsmoodstavce"/>
    <w:link w:val="Nzev"/>
    <w:rsid w:val="00674B45"/>
    <w:rPr>
      <w:rFonts w:ascii="Times New Roman" w:eastAsia="Times New Roman" w:hAnsi="Times New Roman"/>
      <w:sz w:val="3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674B45"/>
    <w:rPr>
      <w:color w:val="0000FF"/>
      <w:u w:val="single"/>
    </w:rPr>
  </w:style>
  <w:style w:type="paragraph" w:styleId="Podtitul">
    <w:name w:val="Subtitle"/>
    <w:basedOn w:val="Normln"/>
    <w:next w:val="Normln"/>
    <w:link w:val="PodtitulChar"/>
    <w:uiPriority w:val="11"/>
    <w:qFormat/>
    <w:rsid w:val="00674B45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674B45"/>
    <w:rPr>
      <w:rFonts w:ascii="Cambria" w:eastAsia="Times New Roman" w:hAnsi="Cambria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semiHidden/>
    <w:unhideWhenUsed/>
    <w:rsid w:val="005056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05679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056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5679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79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5157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51576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251576"/>
    <w:rPr>
      <w:vertAlign w:val="superscript"/>
    </w:rPr>
  </w:style>
  <w:style w:type="table" w:styleId="Mkatabulky">
    <w:name w:val="Table Grid"/>
    <w:basedOn w:val="Normlntabulka"/>
    <w:uiPriority w:val="59"/>
    <w:rsid w:val="00E938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ulek">
    <w:name w:val="caption"/>
    <w:basedOn w:val="Normln"/>
    <w:next w:val="Normln"/>
    <w:uiPriority w:val="35"/>
    <w:qFormat/>
    <w:rsid w:val="00E53E80"/>
    <w:rPr>
      <w:b/>
      <w:bCs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90284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90284"/>
    <w:rPr>
      <w:rFonts w:ascii="Times New Roman" w:eastAsia="Times New Roman" w:hAnsi="Times New Roman"/>
    </w:rPr>
  </w:style>
  <w:style w:type="character" w:styleId="Odkaznavysvtlivky">
    <w:name w:val="endnote reference"/>
    <w:basedOn w:val="Standardnpsmoodstavce"/>
    <w:uiPriority w:val="99"/>
    <w:semiHidden/>
    <w:unhideWhenUsed/>
    <w:rsid w:val="00D90284"/>
    <w:rPr>
      <w:vertAlign w:val="superscript"/>
    </w:rPr>
  </w:style>
  <w:style w:type="paragraph" w:styleId="Obsah2">
    <w:name w:val="toc 2"/>
    <w:basedOn w:val="Normln"/>
    <w:next w:val="Normln"/>
    <w:autoRedefine/>
    <w:uiPriority w:val="39"/>
    <w:unhideWhenUsed/>
    <w:rsid w:val="00DF4C86"/>
    <w:pPr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DF4C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204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1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lincnerova.karin@pacr.e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is.muni.cz/th/64826/fss_m_b1/Ledabyl_diplomova_prace_64826.pdf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1697</Words>
  <Characters>10016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11690</CharactersWithSpaces>
  <SharedDoc>false</SharedDoc>
  <HLinks>
    <vt:vector size="60" baseType="variant">
      <vt:variant>
        <vt:i4>1966134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_Toc275264786</vt:lpwstr>
      </vt:variant>
      <vt:variant>
        <vt:i4>1966134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_Toc275264785</vt:lpwstr>
      </vt:variant>
      <vt:variant>
        <vt:i4>1966134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_Toc275264784</vt:lpwstr>
      </vt:variant>
      <vt:variant>
        <vt:i4>1966134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_Toc275264783</vt:lpwstr>
      </vt:variant>
      <vt:variant>
        <vt:i4>1966134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_Toc275264782</vt:lpwstr>
      </vt:variant>
      <vt:variant>
        <vt:i4>1966134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_Toc275264781</vt:lpwstr>
      </vt:variant>
      <vt:variant>
        <vt:i4>1966134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_Toc275264780</vt:lpwstr>
      </vt:variant>
      <vt:variant>
        <vt:i4>1114166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_Toc275264779</vt:lpwstr>
      </vt:variant>
      <vt:variant>
        <vt:i4>4980786</vt:i4>
      </vt:variant>
      <vt:variant>
        <vt:i4>0</vt:i4>
      </vt:variant>
      <vt:variant>
        <vt:i4>0</vt:i4>
      </vt:variant>
      <vt:variant>
        <vt:i4>5</vt:i4>
      </vt:variant>
      <vt:variant>
        <vt:lpwstr>mailto:plincnerova.karin@pacr.eu</vt:lpwstr>
      </vt:variant>
      <vt:variant>
        <vt:lpwstr/>
      </vt:variant>
      <vt:variant>
        <vt:i4>3670098</vt:i4>
      </vt:variant>
      <vt:variant>
        <vt:i4>0</vt:i4>
      </vt:variant>
      <vt:variant>
        <vt:i4>0</vt:i4>
      </vt:variant>
      <vt:variant>
        <vt:i4>5</vt:i4>
      </vt:variant>
      <vt:variant>
        <vt:lpwstr>http://is.muni.cz/th/64826/fss_m_b1/Ledabyl_diplomova_prace_64826.pdf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Plincnerová</dc:creator>
  <cp:keywords/>
  <dc:description/>
  <cp:lastModifiedBy>Karin Plincnerová</cp:lastModifiedBy>
  <cp:revision>2</cp:revision>
  <dcterms:created xsi:type="dcterms:W3CDTF">2012-02-10T06:42:00Z</dcterms:created>
  <dcterms:modified xsi:type="dcterms:W3CDTF">2012-02-10T06:42:00Z</dcterms:modified>
</cp:coreProperties>
</file>