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B45" w:rsidRPr="002223EF" w:rsidRDefault="00674B45" w:rsidP="00674B45">
      <w:pPr>
        <w:pStyle w:val="Nzev"/>
        <w:spacing w:line="360" w:lineRule="auto"/>
        <w:rPr>
          <w:rFonts w:ascii="Arial" w:hAnsi="Arial" w:cs="Arial"/>
        </w:rPr>
      </w:pPr>
    </w:p>
    <w:p w:rsidR="00674B45" w:rsidRPr="002223EF" w:rsidRDefault="007E0A6E" w:rsidP="00674B45">
      <w:pPr>
        <w:pStyle w:val="Nzev"/>
        <w:spacing w:line="360" w:lineRule="auto"/>
        <w:rPr>
          <w:rFonts w:ascii="Arial" w:hAnsi="Arial" w:cs="Arial"/>
          <w:b/>
          <w:bCs/>
          <w:sz w:val="28"/>
        </w:rPr>
      </w:pPr>
      <w:r>
        <w:rPr>
          <w:rFonts w:ascii="Arial" w:hAnsi="Arial" w:cs="Arial"/>
          <w:noProof/>
          <w:lang w:eastAsia="cs-CZ"/>
        </w:rPr>
        <w:drawing>
          <wp:anchor distT="0" distB="0" distL="114300" distR="114300" simplePos="0" relativeHeight="251657728" behindDoc="0" locked="0" layoutInCell="1" allowOverlap="1">
            <wp:simplePos x="0" y="0"/>
            <wp:positionH relativeFrom="column">
              <wp:posOffset>180975</wp:posOffset>
            </wp:positionH>
            <wp:positionV relativeFrom="paragraph">
              <wp:posOffset>40005</wp:posOffset>
            </wp:positionV>
            <wp:extent cx="742950" cy="723900"/>
            <wp:effectExtent l="1905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42950" cy="723900"/>
                    </a:xfrm>
                    <a:prstGeom prst="rect">
                      <a:avLst/>
                    </a:prstGeom>
                    <a:noFill/>
                    <a:ln w="9525">
                      <a:noFill/>
                      <a:miter lim="800000"/>
                      <a:headEnd/>
                      <a:tailEnd/>
                    </a:ln>
                  </pic:spPr>
                </pic:pic>
              </a:graphicData>
            </a:graphic>
          </wp:anchor>
        </w:drawing>
      </w:r>
    </w:p>
    <w:p w:rsidR="00674B45" w:rsidRPr="002223EF" w:rsidRDefault="00674B45" w:rsidP="00674B45">
      <w:pPr>
        <w:rPr>
          <w:rFonts w:ascii="Arial" w:hAnsi="Arial" w:cs="Arial"/>
          <w:b/>
          <w:bCs/>
          <w:sz w:val="28"/>
        </w:rPr>
      </w:pPr>
      <w:bookmarkStart w:id="0" w:name="_Toc160597478"/>
      <w:bookmarkStart w:id="1" w:name="_Toc162088905"/>
      <w:r w:rsidRPr="002223EF">
        <w:rPr>
          <w:rFonts w:ascii="Arial" w:hAnsi="Arial" w:cs="Arial"/>
          <w:b/>
          <w:bCs/>
          <w:sz w:val="28"/>
        </w:rPr>
        <w:t>POLICEJNÍ AKADEMIE ČESKÉ REPUBLIKY</w:t>
      </w:r>
      <w:bookmarkEnd w:id="0"/>
      <w:bookmarkEnd w:id="1"/>
      <w:r w:rsidR="00353E89">
        <w:rPr>
          <w:rFonts w:ascii="Arial" w:hAnsi="Arial" w:cs="Arial"/>
          <w:b/>
          <w:bCs/>
          <w:sz w:val="28"/>
        </w:rPr>
        <w:t xml:space="preserve"> V PRAZE</w:t>
      </w: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jc w:val="center"/>
        <w:rPr>
          <w:rFonts w:ascii="Arial" w:hAnsi="Arial" w:cs="Arial"/>
        </w:rPr>
      </w:pPr>
    </w:p>
    <w:p w:rsidR="00765A5E" w:rsidRPr="002223EF" w:rsidRDefault="00765A5E" w:rsidP="00674B45">
      <w:pPr>
        <w:jc w:val="center"/>
        <w:rPr>
          <w:rFonts w:ascii="Arial" w:hAnsi="Arial" w:cs="Arial"/>
        </w:rPr>
      </w:pPr>
    </w:p>
    <w:p w:rsidR="00765A5E" w:rsidRPr="002223EF" w:rsidRDefault="00765A5E" w:rsidP="00674B45">
      <w:pPr>
        <w:jc w:val="center"/>
        <w:rPr>
          <w:rFonts w:ascii="Arial" w:hAnsi="Arial" w:cs="Arial"/>
        </w:rPr>
      </w:pPr>
    </w:p>
    <w:p w:rsidR="00765A5E" w:rsidRPr="002223EF" w:rsidRDefault="00765A5E" w:rsidP="00674B45">
      <w:pPr>
        <w:jc w:val="center"/>
        <w:rPr>
          <w:rFonts w:ascii="Arial" w:hAnsi="Arial" w:cs="Arial"/>
        </w:rPr>
      </w:pPr>
    </w:p>
    <w:p w:rsidR="00765A5E" w:rsidRPr="002223EF" w:rsidRDefault="00765A5E" w:rsidP="00674B45">
      <w:pPr>
        <w:jc w:val="center"/>
        <w:rPr>
          <w:rFonts w:ascii="Arial" w:hAnsi="Arial" w:cs="Arial"/>
        </w:rPr>
      </w:pPr>
    </w:p>
    <w:p w:rsidR="00674B45" w:rsidRPr="002223EF" w:rsidRDefault="00674B45" w:rsidP="00674B45">
      <w:pPr>
        <w:jc w:val="center"/>
        <w:rPr>
          <w:rFonts w:ascii="Arial" w:hAnsi="Arial" w:cs="Arial"/>
        </w:rPr>
      </w:pPr>
    </w:p>
    <w:p w:rsidR="00674B45" w:rsidRPr="002223EF" w:rsidRDefault="00674B45" w:rsidP="00674B45">
      <w:pPr>
        <w:jc w:val="center"/>
        <w:rPr>
          <w:rFonts w:ascii="Arial" w:hAnsi="Arial" w:cs="Arial"/>
        </w:rPr>
      </w:pPr>
    </w:p>
    <w:p w:rsidR="00674B45" w:rsidRPr="002223EF" w:rsidRDefault="00674B45" w:rsidP="00674B45">
      <w:pPr>
        <w:jc w:val="center"/>
        <w:rPr>
          <w:rFonts w:ascii="Arial" w:hAnsi="Arial" w:cs="Arial"/>
        </w:rPr>
      </w:pPr>
    </w:p>
    <w:p w:rsidR="00674B45" w:rsidRPr="002223EF" w:rsidRDefault="00276F04" w:rsidP="00276F04">
      <w:pPr>
        <w:tabs>
          <w:tab w:val="left" w:pos="432"/>
        </w:tabs>
        <w:rPr>
          <w:rFonts w:ascii="Arial" w:hAnsi="Arial" w:cs="Arial"/>
        </w:rPr>
      </w:pPr>
      <w:r>
        <w:rPr>
          <w:rFonts w:ascii="Arial" w:hAnsi="Arial" w:cs="Arial"/>
        </w:rPr>
        <w:tab/>
      </w:r>
    </w:p>
    <w:p w:rsidR="00674B45" w:rsidRPr="002223EF" w:rsidRDefault="009402C6" w:rsidP="002223EF">
      <w:pPr>
        <w:jc w:val="center"/>
        <w:rPr>
          <w:rFonts w:ascii="Arial" w:hAnsi="Arial" w:cs="Arial"/>
          <w:sz w:val="32"/>
        </w:rPr>
      </w:pPr>
      <w:bookmarkStart w:id="2" w:name="_Toc160597479"/>
      <w:bookmarkStart w:id="3" w:name="_Toc162088906"/>
      <w:r w:rsidRPr="009402C6">
        <w:rPr>
          <w:rFonts w:ascii="Arial" w:hAnsi="Arial" w:cs="Arial"/>
          <w:b/>
          <w:bCs/>
          <w:sz w:val="40"/>
          <w:szCs w:val="40"/>
        </w:rPr>
        <w:t>Popis, analýza a vzájemná souvislost územně plánovací dokumentace a dokumentace IZS v</w:t>
      </w:r>
      <w:r w:rsidR="0099655F">
        <w:rPr>
          <w:rFonts w:ascii="Arial" w:hAnsi="Arial" w:cs="Arial"/>
          <w:b/>
          <w:bCs/>
          <w:sz w:val="40"/>
          <w:szCs w:val="40"/>
        </w:rPr>
        <w:t>e Středočeském kraji – správní obvod obce s rozšířenou působností Nymburk</w:t>
      </w: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jc w:val="center"/>
        <w:rPr>
          <w:rFonts w:ascii="Arial" w:hAnsi="Arial" w:cs="Arial"/>
          <w:sz w:val="32"/>
        </w:rPr>
      </w:pPr>
      <w:r w:rsidRPr="002223EF">
        <w:rPr>
          <w:rFonts w:ascii="Arial" w:hAnsi="Arial" w:cs="Arial"/>
          <w:sz w:val="32"/>
        </w:rPr>
        <w:t>Semestrální práce</w:t>
      </w:r>
    </w:p>
    <w:p w:rsidR="00674B45" w:rsidRPr="002223EF" w:rsidRDefault="00674B45" w:rsidP="009402C6">
      <w:pPr>
        <w:jc w:val="center"/>
        <w:rPr>
          <w:rFonts w:ascii="Arial" w:hAnsi="Arial" w:cs="Arial"/>
          <w:sz w:val="32"/>
        </w:rPr>
      </w:pPr>
      <w:r w:rsidRPr="002223EF">
        <w:rPr>
          <w:rFonts w:ascii="Arial" w:hAnsi="Arial" w:cs="Arial"/>
          <w:sz w:val="32"/>
        </w:rPr>
        <w:t xml:space="preserve">z předmětu </w:t>
      </w:r>
      <w:bookmarkEnd w:id="2"/>
      <w:bookmarkEnd w:id="3"/>
      <w:r w:rsidR="009402C6" w:rsidRPr="009402C6">
        <w:rPr>
          <w:rFonts w:ascii="Arial" w:hAnsi="Arial" w:cs="Arial"/>
          <w:b/>
          <w:bCs/>
          <w:sz w:val="32"/>
        </w:rPr>
        <w:t>Územní, nouzové a krizové plánování</w:t>
      </w: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sz w:val="28"/>
          <w:szCs w:val="28"/>
        </w:rPr>
      </w:pPr>
    </w:p>
    <w:p w:rsidR="00765A5E" w:rsidRPr="002223EF" w:rsidRDefault="00765A5E" w:rsidP="00674B45">
      <w:pPr>
        <w:rPr>
          <w:rFonts w:ascii="Arial" w:hAnsi="Arial" w:cs="Arial"/>
          <w:sz w:val="28"/>
          <w:szCs w:val="28"/>
        </w:rPr>
      </w:pPr>
    </w:p>
    <w:p w:rsidR="00765A5E" w:rsidRPr="002223EF" w:rsidRDefault="00765A5E" w:rsidP="00674B45">
      <w:pPr>
        <w:rPr>
          <w:rFonts w:ascii="Arial" w:hAnsi="Arial" w:cs="Arial"/>
          <w:sz w:val="28"/>
          <w:szCs w:val="28"/>
        </w:rPr>
      </w:pPr>
    </w:p>
    <w:p w:rsidR="00765A5E" w:rsidRPr="002223EF" w:rsidRDefault="00765A5E" w:rsidP="00674B45">
      <w:pPr>
        <w:rPr>
          <w:rFonts w:ascii="Arial" w:hAnsi="Arial" w:cs="Arial"/>
          <w:sz w:val="28"/>
          <w:szCs w:val="28"/>
        </w:rPr>
      </w:pP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rPr>
      </w:pPr>
      <w:bookmarkStart w:id="4" w:name="_Toc160597480"/>
      <w:bookmarkStart w:id="5" w:name="_Toc162088907"/>
      <w:r w:rsidRPr="002223EF">
        <w:rPr>
          <w:rFonts w:ascii="Arial" w:hAnsi="Arial" w:cs="Arial"/>
        </w:rPr>
        <w:t xml:space="preserve">Vypracovala: </w:t>
      </w:r>
      <w:r w:rsidRPr="002223EF">
        <w:rPr>
          <w:rFonts w:ascii="Arial" w:hAnsi="Arial" w:cs="Arial"/>
        </w:rPr>
        <w:tab/>
      </w:r>
      <w:r w:rsidR="002223EF">
        <w:rPr>
          <w:rFonts w:ascii="Arial" w:hAnsi="Arial" w:cs="Arial"/>
        </w:rPr>
        <w:t xml:space="preserve">Bc. </w:t>
      </w:r>
      <w:smartTag w:uri="urn:schemas-microsoft-com:office:smarttags" w:element="PersonName">
        <w:smartTagPr>
          <w:attr w:name="ProductID" w:val="Karin Plincnerov￡"/>
        </w:smartTagPr>
        <w:r w:rsidRPr="002223EF">
          <w:rPr>
            <w:rFonts w:ascii="Arial" w:hAnsi="Arial" w:cs="Arial"/>
          </w:rPr>
          <w:t>Karin Plincnerová</w:t>
        </w:r>
      </w:smartTag>
      <w:bookmarkEnd w:id="4"/>
      <w:bookmarkEnd w:id="5"/>
    </w:p>
    <w:p w:rsidR="002223EF" w:rsidRPr="002223EF" w:rsidRDefault="00674B45" w:rsidP="00674B45">
      <w:pPr>
        <w:rPr>
          <w:rFonts w:ascii="Arial" w:hAnsi="Arial" w:cs="Arial"/>
        </w:rPr>
      </w:pPr>
      <w:r w:rsidRPr="002223EF">
        <w:rPr>
          <w:rFonts w:ascii="Arial" w:hAnsi="Arial" w:cs="Arial"/>
        </w:rPr>
        <w:t>Obor:</w:t>
      </w:r>
      <w:r w:rsidRPr="002223EF">
        <w:rPr>
          <w:rFonts w:ascii="Arial" w:hAnsi="Arial" w:cs="Arial"/>
        </w:rPr>
        <w:tab/>
      </w:r>
      <w:r w:rsidRPr="002223EF">
        <w:rPr>
          <w:rFonts w:ascii="Arial" w:hAnsi="Arial" w:cs="Arial"/>
        </w:rPr>
        <w:tab/>
      </w:r>
      <w:r w:rsidR="002223EF">
        <w:rPr>
          <w:rFonts w:ascii="Arial" w:hAnsi="Arial" w:cs="Arial"/>
        </w:rPr>
        <w:tab/>
      </w:r>
      <w:r w:rsidR="002223EF" w:rsidRPr="002223EF">
        <w:rPr>
          <w:rFonts w:ascii="Arial" w:hAnsi="Arial" w:cs="Arial"/>
        </w:rPr>
        <w:t xml:space="preserve">Bezpečnostní management ve veřejné správě </w:t>
      </w:r>
    </w:p>
    <w:p w:rsidR="00674B45" w:rsidRPr="002223EF" w:rsidRDefault="00674B45" w:rsidP="00674B45">
      <w:pPr>
        <w:rPr>
          <w:rFonts w:ascii="Arial" w:hAnsi="Arial" w:cs="Arial"/>
        </w:rPr>
      </w:pPr>
      <w:r w:rsidRPr="002223EF">
        <w:rPr>
          <w:rFonts w:ascii="Arial" w:hAnsi="Arial" w:cs="Arial"/>
        </w:rPr>
        <w:t>Forma:</w:t>
      </w:r>
      <w:r w:rsidRPr="002223EF">
        <w:rPr>
          <w:rFonts w:ascii="Arial" w:hAnsi="Arial" w:cs="Arial"/>
        </w:rPr>
        <w:tab/>
      </w:r>
      <w:r w:rsidR="002223EF">
        <w:rPr>
          <w:rFonts w:ascii="Arial" w:hAnsi="Arial" w:cs="Arial"/>
        </w:rPr>
        <w:tab/>
      </w:r>
      <w:r w:rsidRPr="002223EF">
        <w:rPr>
          <w:rFonts w:ascii="Arial" w:hAnsi="Arial" w:cs="Arial"/>
        </w:rPr>
        <w:t>kombinovaná</w:t>
      </w:r>
    </w:p>
    <w:p w:rsidR="00674B45" w:rsidRPr="002223EF" w:rsidRDefault="00674B45" w:rsidP="00674B45">
      <w:pPr>
        <w:rPr>
          <w:rFonts w:ascii="Arial" w:hAnsi="Arial" w:cs="Arial"/>
        </w:rPr>
      </w:pPr>
      <w:r w:rsidRPr="002223EF">
        <w:rPr>
          <w:rFonts w:ascii="Arial" w:hAnsi="Arial" w:cs="Arial"/>
        </w:rPr>
        <w:t>Ročník:</w:t>
      </w:r>
      <w:r w:rsidRPr="002223EF">
        <w:rPr>
          <w:rFonts w:ascii="Arial" w:hAnsi="Arial" w:cs="Arial"/>
        </w:rPr>
        <w:tab/>
      </w:r>
      <w:r w:rsidR="002223EF">
        <w:rPr>
          <w:rFonts w:ascii="Arial" w:hAnsi="Arial" w:cs="Arial"/>
        </w:rPr>
        <w:tab/>
      </w:r>
      <w:r w:rsidR="000B7374">
        <w:rPr>
          <w:rFonts w:ascii="Arial" w:hAnsi="Arial" w:cs="Arial"/>
        </w:rPr>
        <w:t>I</w:t>
      </w:r>
      <w:r w:rsidRPr="002223EF">
        <w:rPr>
          <w:rFonts w:ascii="Arial" w:hAnsi="Arial" w:cs="Arial"/>
        </w:rPr>
        <w:t>I.</w:t>
      </w:r>
      <w:r w:rsidR="002223EF">
        <w:rPr>
          <w:rFonts w:ascii="Arial" w:hAnsi="Arial" w:cs="Arial"/>
        </w:rPr>
        <w:t xml:space="preserve"> – N71</w:t>
      </w:r>
    </w:p>
    <w:p w:rsidR="00674B45" w:rsidRPr="002223EF" w:rsidRDefault="00674B45" w:rsidP="00674B45">
      <w:pPr>
        <w:rPr>
          <w:rFonts w:ascii="Arial" w:hAnsi="Arial" w:cs="Arial"/>
        </w:rPr>
      </w:pPr>
      <w:r w:rsidRPr="002223EF">
        <w:rPr>
          <w:rFonts w:ascii="Arial" w:hAnsi="Arial" w:cs="Arial"/>
        </w:rPr>
        <w:t>Datum:</w:t>
      </w:r>
      <w:r w:rsidRPr="002223EF">
        <w:rPr>
          <w:rFonts w:ascii="Arial" w:hAnsi="Arial" w:cs="Arial"/>
        </w:rPr>
        <w:tab/>
      </w:r>
      <w:r w:rsidR="002223EF">
        <w:rPr>
          <w:rFonts w:ascii="Arial" w:hAnsi="Arial" w:cs="Arial"/>
        </w:rPr>
        <w:tab/>
      </w:r>
      <w:r w:rsidR="000B7374">
        <w:rPr>
          <w:rFonts w:ascii="Arial" w:hAnsi="Arial" w:cs="Arial"/>
        </w:rPr>
        <w:t>2</w:t>
      </w:r>
      <w:r w:rsidR="009402C6">
        <w:rPr>
          <w:rFonts w:ascii="Arial" w:hAnsi="Arial" w:cs="Arial"/>
        </w:rPr>
        <w:t>5</w:t>
      </w:r>
      <w:r w:rsidR="00A04F7F" w:rsidRPr="002223EF">
        <w:rPr>
          <w:rFonts w:ascii="Arial" w:hAnsi="Arial" w:cs="Arial"/>
        </w:rPr>
        <w:t xml:space="preserve">. </w:t>
      </w:r>
      <w:r w:rsidR="000B7374">
        <w:rPr>
          <w:rFonts w:ascii="Arial" w:hAnsi="Arial" w:cs="Arial"/>
        </w:rPr>
        <w:t>10</w:t>
      </w:r>
      <w:r w:rsidR="00A04F7F" w:rsidRPr="002223EF">
        <w:rPr>
          <w:rFonts w:ascii="Arial" w:hAnsi="Arial" w:cs="Arial"/>
        </w:rPr>
        <w:t>. 2010</w:t>
      </w:r>
    </w:p>
    <w:p w:rsidR="00674B45" w:rsidRPr="002223EF" w:rsidRDefault="00674B45" w:rsidP="00674B45">
      <w:pPr>
        <w:rPr>
          <w:rFonts w:ascii="Arial" w:hAnsi="Arial" w:cs="Arial"/>
        </w:rPr>
      </w:pPr>
      <w:r w:rsidRPr="002223EF">
        <w:rPr>
          <w:rFonts w:ascii="Arial" w:hAnsi="Arial" w:cs="Arial"/>
        </w:rPr>
        <w:t>E-mail:</w:t>
      </w:r>
      <w:r w:rsidRPr="002223EF">
        <w:rPr>
          <w:rFonts w:ascii="Arial" w:hAnsi="Arial" w:cs="Arial"/>
        </w:rPr>
        <w:tab/>
      </w:r>
      <w:r w:rsidR="002223EF">
        <w:rPr>
          <w:rFonts w:ascii="Arial" w:hAnsi="Arial" w:cs="Arial"/>
        </w:rPr>
        <w:tab/>
      </w:r>
      <w:hyperlink r:id="rId9" w:history="1">
        <w:r w:rsidR="002223EF" w:rsidRPr="002223EF">
          <w:rPr>
            <w:rStyle w:val="Hypertextovodkaz"/>
            <w:rFonts w:ascii="Arial" w:hAnsi="Arial" w:cs="Arial"/>
          </w:rPr>
          <w:t>plincnerova.karin@pacr.eu</w:t>
        </w:r>
      </w:hyperlink>
    </w:p>
    <w:p w:rsidR="00481D5C" w:rsidRPr="00481D5C" w:rsidRDefault="00674B45" w:rsidP="00481D5C">
      <w:pPr>
        <w:pStyle w:val="Nadpis2"/>
        <w:spacing w:line="360" w:lineRule="auto"/>
        <w:rPr>
          <w:rFonts w:ascii="Arial" w:hAnsi="Arial" w:cs="Arial"/>
          <w:noProof/>
        </w:rPr>
      </w:pPr>
      <w:r w:rsidRPr="002223EF">
        <w:rPr>
          <w:rFonts w:ascii="Arial" w:hAnsi="Arial" w:cs="Arial"/>
          <w:sz w:val="24"/>
          <w:szCs w:val="24"/>
        </w:rPr>
        <w:br w:type="page"/>
      </w:r>
      <w:r w:rsidR="00DB11C6" w:rsidRPr="00481D5C">
        <w:rPr>
          <w:rFonts w:ascii="Arial" w:hAnsi="Arial" w:cs="Arial"/>
          <w:sz w:val="24"/>
          <w:szCs w:val="24"/>
        </w:rPr>
        <w:lastRenderedPageBreak/>
        <w:fldChar w:fldCharType="begin"/>
      </w:r>
      <w:r w:rsidR="00DB11C6" w:rsidRPr="00481D5C">
        <w:rPr>
          <w:rFonts w:ascii="Arial" w:hAnsi="Arial" w:cs="Arial"/>
          <w:sz w:val="24"/>
          <w:szCs w:val="24"/>
        </w:rPr>
        <w:instrText xml:space="preserve"> TOC \o "1-3" \h \z \u </w:instrText>
      </w:r>
      <w:r w:rsidR="00DB11C6" w:rsidRPr="00481D5C">
        <w:rPr>
          <w:rFonts w:ascii="Arial" w:hAnsi="Arial" w:cs="Arial"/>
          <w:sz w:val="24"/>
          <w:szCs w:val="24"/>
        </w:rPr>
        <w:fldChar w:fldCharType="separate"/>
      </w:r>
    </w:p>
    <w:p w:rsidR="00481D5C" w:rsidRPr="00481D5C" w:rsidRDefault="00481D5C" w:rsidP="00481D5C">
      <w:pPr>
        <w:pStyle w:val="Obsah2"/>
        <w:tabs>
          <w:tab w:val="right" w:leader="dot" w:pos="9062"/>
        </w:tabs>
        <w:spacing w:line="360" w:lineRule="auto"/>
        <w:rPr>
          <w:rFonts w:ascii="Arial" w:hAnsi="Arial" w:cs="Arial"/>
          <w:noProof/>
          <w:sz w:val="22"/>
          <w:szCs w:val="22"/>
        </w:rPr>
      </w:pPr>
      <w:hyperlink w:anchor="_Toc275595169" w:history="1">
        <w:r w:rsidRPr="00481D5C">
          <w:rPr>
            <w:rStyle w:val="Hypertextovodkaz"/>
            <w:rFonts w:ascii="Arial" w:hAnsi="Arial" w:cs="Arial"/>
            <w:noProof/>
          </w:rPr>
          <w:t>Obsah:</w:t>
        </w:r>
        <w:r w:rsidRPr="00481D5C">
          <w:rPr>
            <w:rFonts w:ascii="Arial" w:hAnsi="Arial" w:cs="Arial"/>
            <w:noProof/>
            <w:webHidden/>
          </w:rPr>
          <w:tab/>
        </w:r>
        <w:r w:rsidRPr="00481D5C">
          <w:rPr>
            <w:rFonts w:ascii="Arial" w:hAnsi="Arial" w:cs="Arial"/>
            <w:noProof/>
            <w:webHidden/>
          </w:rPr>
          <w:fldChar w:fldCharType="begin"/>
        </w:r>
        <w:r w:rsidRPr="00481D5C">
          <w:rPr>
            <w:rFonts w:ascii="Arial" w:hAnsi="Arial" w:cs="Arial"/>
            <w:noProof/>
            <w:webHidden/>
          </w:rPr>
          <w:instrText xml:space="preserve"> PAGEREF _Toc275595169 \h </w:instrText>
        </w:r>
        <w:r w:rsidRPr="00481D5C">
          <w:rPr>
            <w:rFonts w:ascii="Arial" w:hAnsi="Arial" w:cs="Arial"/>
            <w:noProof/>
            <w:webHidden/>
          </w:rPr>
        </w:r>
        <w:r w:rsidRPr="00481D5C">
          <w:rPr>
            <w:rFonts w:ascii="Arial" w:hAnsi="Arial" w:cs="Arial"/>
            <w:noProof/>
            <w:webHidden/>
          </w:rPr>
          <w:fldChar w:fldCharType="separate"/>
        </w:r>
        <w:r w:rsidRPr="00481D5C">
          <w:rPr>
            <w:rFonts w:ascii="Arial" w:hAnsi="Arial" w:cs="Arial"/>
            <w:noProof/>
            <w:webHidden/>
          </w:rPr>
          <w:t>2</w:t>
        </w:r>
        <w:r w:rsidRPr="00481D5C">
          <w:rPr>
            <w:rFonts w:ascii="Arial" w:hAnsi="Arial" w:cs="Arial"/>
            <w:noProof/>
            <w:webHidden/>
          </w:rPr>
          <w:fldChar w:fldCharType="end"/>
        </w:r>
      </w:hyperlink>
    </w:p>
    <w:p w:rsidR="00481D5C" w:rsidRPr="00481D5C" w:rsidRDefault="00481D5C" w:rsidP="00481D5C">
      <w:pPr>
        <w:pStyle w:val="Obsah1"/>
        <w:tabs>
          <w:tab w:val="left" w:pos="440"/>
          <w:tab w:val="right" w:leader="dot" w:pos="9062"/>
        </w:tabs>
        <w:spacing w:line="360" w:lineRule="auto"/>
        <w:rPr>
          <w:rFonts w:ascii="Arial" w:hAnsi="Arial" w:cs="Arial"/>
          <w:noProof/>
          <w:sz w:val="22"/>
          <w:szCs w:val="22"/>
        </w:rPr>
      </w:pPr>
      <w:hyperlink w:anchor="_Toc275595170" w:history="1">
        <w:r w:rsidRPr="00481D5C">
          <w:rPr>
            <w:rStyle w:val="Hypertextovodkaz"/>
            <w:rFonts w:ascii="Arial" w:hAnsi="Arial" w:cs="Arial"/>
            <w:noProof/>
          </w:rPr>
          <w:t>1.</w:t>
        </w:r>
        <w:r w:rsidRPr="00481D5C">
          <w:rPr>
            <w:rFonts w:ascii="Arial" w:hAnsi="Arial" w:cs="Arial"/>
            <w:noProof/>
            <w:sz w:val="22"/>
            <w:szCs w:val="22"/>
          </w:rPr>
          <w:tab/>
        </w:r>
        <w:r w:rsidRPr="00481D5C">
          <w:rPr>
            <w:rStyle w:val="Hypertextovodkaz"/>
            <w:rFonts w:ascii="Arial" w:hAnsi="Arial" w:cs="Arial"/>
            <w:noProof/>
          </w:rPr>
          <w:t>Úvod - plánování obecně</w:t>
        </w:r>
        <w:r w:rsidRPr="00481D5C">
          <w:rPr>
            <w:rFonts w:ascii="Arial" w:hAnsi="Arial" w:cs="Arial"/>
            <w:noProof/>
            <w:webHidden/>
          </w:rPr>
          <w:tab/>
        </w:r>
        <w:r w:rsidRPr="00481D5C">
          <w:rPr>
            <w:rFonts w:ascii="Arial" w:hAnsi="Arial" w:cs="Arial"/>
            <w:noProof/>
            <w:webHidden/>
          </w:rPr>
          <w:fldChar w:fldCharType="begin"/>
        </w:r>
        <w:r w:rsidRPr="00481D5C">
          <w:rPr>
            <w:rFonts w:ascii="Arial" w:hAnsi="Arial" w:cs="Arial"/>
            <w:noProof/>
            <w:webHidden/>
          </w:rPr>
          <w:instrText xml:space="preserve"> PAGEREF _Toc275595170 \h </w:instrText>
        </w:r>
        <w:r w:rsidRPr="00481D5C">
          <w:rPr>
            <w:rFonts w:ascii="Arial" w:hAnsi="Arial" w:cs="Arial"/>
            <w:noProof/>
            <w:webHidden/>
          </w:rPr>
        </w:r>
        <w:r w:rsidRPr="00481D5C">
          <w:rPr>
            <w:rFonts w:ascii="Arial" w:hAnsi="Arial" w:cs="Arial"/>
            <w:noProof/>
            <w:webHidden/>
          </w:rPr>
          <w:fldChar w:fldCharType="separate"/>
        </w:r>
        <w:r w:rsidRPr="00481D5C">
          <w:rPr>
            <w:rFonts w:ascii="Arial" w:hAnsi="Arial" w:cs="Arial"/>
            <w:noProof/>
            <w:webHidden/>
          </w:rPr>
          <w:t>3</w:t>
        </w:r>
        <w:r w:rsidRPr="00481D5C">
          <w:rPr>
            <w:rFonts w:ascii="Arial" w:hAnsi="Arial" w:cs="Arial"/>
            <w:noProof/>
            <w:webHidden/>
          </w:rPr>
          <w:fldChar w:fldCharType="end"/>
        </w:r>
      </w:hyperlink>
    </w:p>
    <w:p w:rsidR="00481D5C" w:rsidRPr="00481D5C" w:rsidRDefault="00481D5C" w:rsidP="00481D5C">
      <w:pPr>
        <w:pStyle w:val="Obsah1"/>
        <w:tabs>
          <w:tab w:val="left" w:pos="440"/>
          <w:tab w:val="right" w:leader="dot" w:pos="9062"/>
        </w:tabs>
        <w:spacing w:line="360" w:lineRule="auto"/>
        <w:rPr>
          <w:rFonts w:ascii="Arial" w:hAnsi="Arial" w:cs="Arial"/>
          <w:noProof/>
          <w:sz w:val="22"/>
          <w:szCs w:val="22"/>
        </w:rPr>
      </w:pPr>
      <w:hyperlink w:anchor="_Toc275595171" w:history="1">
        <w:r w:rsidRPr="00481D5C">
          <w:rPr>
            <w:rStyle w:val="Hypertextovodkaz"/>
            <w:rFonts w:ascii="Arial" w:hAnsi="Arial" w:cs="Arial"/>
            <w:noProof/>
          </w:rPr>
          <w:t>2.</w:t>
        </w:r>
        <w:r w:rsidRPr="00481D5C">
          <w:rPr>
            <w:rFonts w:ascii="Arial" w:hAnsi="Arial" w:cs="Arial"/>
            <w:noProof/>
            <w:sz w:val="22"/>
            <w:szCs w:val="22"/>
          </w:rPr>
          <w:tab/>
        </w:r>
        <w:r w:rsidRPr="00481D5C">
          <w:rPr>
            <w:rStyle w:val="Hypertextovodkaz"/>
            <w:rFonts w:ascii="Arial" w:hAnsi="Arial" w:cs="Arial"/>
            <w:noProof/>
          </w:rPr>
          <w:t>Územně plánovací dokumentace</w:t>
        </w:r>
        <w:r w:rsidRPr="00481D5C">
          <w:rPr>
            <w:rFonts w:ascii="Arial" w:hAnsi="Arial" w:cs="Arial"/>
            <w:noProof/>
            <w:webHidden/>
          </w:rPr>
          <w:tab/>
        </w:r>
        <w:r w:rsidRPr="00481D5C">
          <w:rPr>
            <w:rFonts w:ascii="Arial" w:hAnsi="Arial" w:cs="Arial"/>
            <w:noProof/>
            <w:webHidden/>
          </w:rPr>
          <w:fldChar w:fldCharType="begin"/>
        </w:r>
        <w:r w:rsidRPr="00481D5C">
          <w:rPr>
            <w:rFonts w:ascii="Arial" w:hAnsi="Arial" w:cs="Arial"/>
            <w:noProof/>
            <w:webHidden/>
          </w:rPr>
          <w:instrText xml:space="preserve"> PAGEREF _Toc275595171 \h </w:instrText>
        </w:r>
        <w:r w:rsidRPr="00481D5C">
          <w:rPr>
            <w:rFonts w:ascii="Arial" w:hAnsi="Arial" w:cs="Arial"/>
            <w:noProof/>
            <w:webHidden/>
          </w:rPr>
        </w:r>
        <w:r w:rsidRPr="00481D5C">
          <w:rPr>
            <w:rFonts w:ascii="Arial" w:hAnsi="Arial" w:cs="Arial"/>
            <w:noProof/>
            <w:webHidden/>
          </w:rPr>
          <w:fldChar w:fldCharType="separate"/>
        </w:r>
        <w:r w:rsidRPr="00481D5C">
          <w:rPr>
            <w:rFonts w:ascii="Arial" w:hAnsi="Arial" w:cs="Arial"/>
            <w:noProof/>
            <w:webHidden/>
          </w:rPr>
          <w:t>3</w:t>
        </w:r>
        <w:r w:rsidRPr="00481D5C">
          <w:rPr>
            <w:rFonts w:ascii="Arial" w:hAnsi="Arial" w:cs="Arial"/>
            <w:noProof/>
            <w:webHidden/>
          </w:rPr>
          <w:fldChar w:fldCharType="end"/>
        </w:r>
      </w:hyperlink>
    </w:p>
    <w:p w:rsidR="00481D5C" w:rsidRPr="00481D5C" w:rsidRDefault="00481D5C" w:rsidP="00481D5C">
      <w:pPr>
        <w:pStyle w:val="Obsah1"/>
        <w:tabs>
          <w:tab w:val="left" w:pos="440"/>
          <w:tab w:val="right" w:leader="dot" w:pos="9062"/>
        </w:tabs>
        <w:spacing w:line="360" w:lineRule="auto"/>
        <w:rPr>
          <w:rFonts w:ascii="Arial" w:hAnsi="Arial" w:cs="Arial"/>
          <w:noProof/>
          <w:sz w:val="22"/>
          <w:szCs w:val="22"/>
        </w:rPr>
      </w:pPr>
      <w:hyperlink w:anchor="_Toc275595172" w:history="1">
        <w:r w:rsidRPr="00481D5C">
          <w:rPr>
            <w:rStyle w:val="Hypertextovodkaz"/>
            <w:rFonts w:ascii="Arial" w:hAnsi="Arial" w:cs="Arial"/>
            <w:noProof/>
          </w:rPr>
          <w:t>3.</w:t>
        </w:r>
        <w:r w:rsidRPr="00481D5C">
          <w:rPr>
            <w:rFonts w:ascii="Arial" w:hAnsi="Arial" w:cs="Arial"/>
            <w:noProof/>
            <w:sz w:val="22"/>
            <w:szCs w:val="22"/>
          </w:rPr>
          <w:tab/>
        </w:r>
        <w:r w:rsidRPr="00481D5C">
          <w:rPr>
            <w:rStyle w:val="Hypertextovodkaz"/>
            <w:rFonts w:ascii="Arial" w:hAnsi="Arial" w:cs="Arial"/>
            <w:noProof/>
          </w:rPr>
          <w:t>Plánovací dokumentace IZS</w:t>
        </w:r>
        <w:r w:rsidRPr="00481D5C">
          <w:rPr>
            <w:rFonts w:ascii="Arial" w:hAnsi="Arial" w:cs="Arial"/>
            <w:noProof/>
            <w:webHidden/>
          </w:rPr>
          <w:tab/>
        </w:r>
        <w:r w:rsidRPr="00481D5C">
          <w:rPr>
            <w:rFonts w:ascii="Arial" w:hAnsi="Arial" w:cs="Arial"/>
            <w:noProof/>
            <w:webHidden/>
          </w:rPr>
          <w:fldChar w:fldCharType="begin"/>
        </w:r>
        <w:r w:rsidRPr="00481D5C">
          <w:rPr>
            <w:rFonts w:ascii="Arial" w:hAnsi="Arial" w:cs="Arial"/>
            <w:noProof/>
            <w:webHidden/>
          </w:rPr>
          <w:instrText xml:space="preserve"> PAGEREF _Toc275595172 \h </w:instrText>
        </w:r>
        <w:r w:rsidRPr="00481D5C">
          <w:rPr>
            <w:rFonts w:ascii="Arial" w:hAnsi="Arial" w:cs="Arial"/>
            <w:noProof/>
            <w:webHidden/>
          </w:rPr>
        </w:r>
        <w:r w:rsidRPr="00481D5C">
          <w:rPr>
            <w:rFonts w:ascii="Arial" w:hAnsi="Arial" w:cs="Arial"/>
            <w:noProof/>
            <w:webHidden/>
          </w:rPr>
          <w:fldChar w:fldCharType="separate"/>
        </w:r>
        <w:r w:rsidRPr="00481D5C">
          <w:rPr>
            <w:rFonts w:ascii="Arial" w:hAnsi="Arial" w:cs="Arial"/>
            <w:noProof/>
            <w:webHidden/>
          </w:rPr>
          <w:t>4</w:t>
        </w:r>
        <w:r w:rsidRPr="00481D5C">
          <w:rPr>
            <w:rFonts w:ascii="Arial" w:hAnsi="Arial" w:cs="Arial"/>
            <w:noProof/>
            <w:webHidden/>
          </w:rPr>
          <w:fldChar w:fldCharType="end"/>
        </w:r>
      </w:hyperlink>
    </w:p>
    <w:p w:rsidR="00481D5C" w:rsidRPr="00481D5C" w:rsidRDefault="00481D5C" w:rsidP="00481D5C">
      <w:pPr>
        <w:pStyle w:val="Obsah1"/>
        <w:tabs>
          <w:tab w:val="left" w:pos="440"/>
          <w:tab w:val="right" w:leader="dot" w:pos="9062"/>
        </w:tabs>
        <w:spacing w:line="360" w:lineRule="auto"/>
        <w:rPr>
          <w:rFonts w:ascii="Arial" w:hAnsi="Arial" w:cs="Arial"/>
          <w:noProof/>
          <w:sz w:val="22"/>
          <w:szCs w:val="22"/>
        </w:rPr>
      </w:pPr>
      <w:hyperlink w:anchor="_Toc275595173" w:history="1">
        <w:r w:rsidRPr="00481D5C">
          <w:rPr>
            <w:rStyle w:val="Hypertextovodkaz"/>
            <w:rFonts w:ascii="Arial" w:hAnsi="Arial" w:cs="Arial"/>
            <w:noProof/>
          </w:rPr>
          <w:t>4.</w:t>
        </w:r>
        <w:r w:rsidRPr="00481D5C">
          <w:rPr>
            <w:rFonts w:ascii="Arial" w:hAnsi="Arial" w:cs="Arial"/>
            <w:noProof/>
            <w:sz w:val="22"/>
            <w:szCs w:val="22"/>
          </w:rPr>
          <w:tab/>
        </w:r>
        <w:r w:rsidRPr="00481D5C">
          <w:rPr>
            <w:rStyle w:val="Hypertextovodkaz"/>
            <w:rFonts w:ascii="Arial" w:hAnsi="Arial" w:cs="Arial"/>
            <w:noProof/>
          </w:rPr>
          <w:t>Závěr</w:t>
        </w:r>
        <w:r w:rsidRPr="00481D5C">
          <w:rPr>
            <w:rFonts w:ascii="Arial" w:hAnsi="Arial" w:cs="Arial"/>
            <w:noProof/>
            <w:webHidden/>
          </w:rPr>
          <w:tab/>
        </w:r>
        <w:r w:rsidRPr="00481D5C">
          <w:rPr>
            <w:rFonts w:ascii="Arial" w:hAnsi="Arial" w:cs="Arial"/>
            <w:noProof/>
            <w:webHidden/>
          </w:rPr>
          <w:fldChar w:fldCharType="begin"/>
        </w:r>
        <w:r w:rsidRPr="00481D5C">
          <w:rPr>
            <w:rFonts w:ascii="Arial" w:hAnsi="Arial" w:cs="Arial"/>
            <w:noProof/>
            <w:webHidden/>
          </w:rPr>
          <w:instrText xml:space="preserve"> PAGEREF _Toc275595173 \h </w:instrText>
        </w:r>
        <w:r w:rsidRPr="00481D5C">
          <w:rPr>
            <w:rFonts w:ascii="Arial" w:hAnsi="Arial" w:cs="Arial"/>
            <w:noProof/>
            <w:webHidden/>
          </w:rPr>
        </w:r>
        <w:r w:rsidRPr="00481D5C">
          <w:rPr>
            <w:rFonts w:ascii="Arial" w:hAnsi="Arial" w:cs="Arial"/>
            <w:noProof/>
            <w:webHidden/>
          </w:rPr>
          <w:fldChar w:fldCharType="separate"/>
        </w:r>
        <w:r w:rsidRPr="00481D5C">
          <w:rPr>
            <w:rFonts w:ascii="Arial" w:hAnsi="Arial" w:cs="Arial"/>
            <w:noProof/>
            <w:webHidden/>
          </w:rPr>
          <w:t>6</w:t>
        </w:r>
        <w:r w:rsidRPr="00481D5C">
          <w:rPr>
            <w:rFonts w:ascii="Arial" w:hAnsi="Arial" w:cs="Arial"/>
            <w:noProof/>
            <w:webHidden/>
          </w:rPr>
          <w:fldChar w:fldCharType="end"/>
        </w:r>
      </w:hyperlink>
    </w:p>
    <w:p w:rsidR="00481D5C" w:rsidRPr="00481D5C" w:rsidRDefault="00481D5C" w:rsidP="00481D5C">
      <w:pPr>
        <w:pStyle w:val="Obsah1"/>
        <w:tabs>
          <w:tab w:val="left" w:pos="440"/>
          <w:tab w:val="right" w:leader="dot" w:pos="9062"/>
        </w:tabs>
        <w:spacing w:line="360" w:lineRule="auto"/>
        <w:rPr>
          <w:rFonts w:ascii="Arial" w:hAnsi="Arial" w:cs="Arial"/>
          <w:noProof/>
          <w:sz w:val="22"/>
          <w:szCs w:val="22"/>
        </w:rPr>
      </w:pPr>
      <w:hyperlink w:anchor="_Toc275595174" w:history="1">
        <w:r w:rsidRPr="00481D5C">
          <w:rPr>
            <w:rStyle w:val="Hypertextovodkaz"/>
            <w:rFonts w:ascii="Arial" w:hAnsi="Arial" w:cs="Arial"/>
            <w:noProof/>
          </w:rPr>
          <w:t>5.</w:t>
        </w:r>
        <w:r w:rsidRPr="00481D5C">
          <w:rPr>
            <w:rFonts w:ascii="Arial" w:hAnsi="Arial" w:cs="Arial"/>
            <w:noProof/>
            <w:sz w:val="22"/>
            <w:szCs w:val="22"/>
          </w:rPr>
          <w:tab/>
        </w:r>
        <w:r w:rsidRPr="00481D5C">
          <w:rPr>
            <w:rStyle w:val="Hypertextovodkaz"/>
            <w:rFonts w:ascii="Arial" w:hAnsi="Arial" w:cs="Arial"/>
            <w:noProof/>
          </w:rPr>
          <w:t>Použitá literatura</w:t>
        </w:r>
        <w:r w:rsidRPr="00481D5C">
          <w:rPr>
            <w:rFonts w:ascii="Arial" w:hAnsi="Arial" w:cs="Arial"/>
            <w:noProof/>
            <w:webHidden/>
          </w:rPr>
          <w:tab/>
        </w:r>
        <w:r w:rsidRPr="00481D5C">
          <w:rPr>
            <w:rFonts w:ascii="Arial" w:hAnsi="Arial" w:cs="Arial"/>
            <w:noProof/>
            <w:webHidden/>
          </w:rPr>
          <w:fldChar w:fldCharType="begin"/>
        </w:r>
        <w:r w:rsidRPr="00481D5C">
          <w:rPr>
            <w:rFonts w:ascii="Arial" w:hAnsi="Arial" w:cs="Arial"/>
            <w:noProof/>
            <w:webHidden/>
          </w:rPr>
          <w:instrText xml:space="preserve"> PAGEREF _Toc275595174 \h </w:instrText>
        </w:r>
        <w:r w:rsidRPr="00481D5C">
          <w:rPr>
            <w:rFonts w:ascii="Arial" w:hAnsi="Arial" w:cs="Arial"/>
            <w:noProof/>
            <w:webHidden/>
          </w:rPr>
        </w:r>
        <w:r w:rsidRPr="00481D5C">
          <w:rPr>
            <w:rFonts w:ascii="Arial" w:hAnsi="Arial" w:cs="Arial"/>
            <w:noProof/>
            <w:webHidden/>
          </w:rPr>
          <w:fldChar w:fldCharType="separate"/>
        </w:r>
        <w:r w:rsidRPr="00481D5C">
          <w:rPr>
            <w:rFonts w:ascii="Arial" w:hAnsi="Arial" w:cs="Arial"/>
            <w:noProof/>
            <w:webHidden/>
          </w:rPr>
          <w:t>6</w:t>
        </w:r>
        <w:r w:rsidRPr="00481D5C">
          <w:rPr>
            <w:rFonts w:ascii="Arial" w:hAnsi="Arial" w:cs="Arial"/>
            <w:noProof/>
            <w:webHidden/>
          </w:rPr>
          <w:fldChar w:fldCharType="end"/>
        </w:r>
      </w:hyperlink>
    </w:p>
    <w:p w:rsidR="00777C25" w:rsidRDefault="00DB11C6" w:rsidP="00481D5C">
      <w:pPr>
        <w:pStyle w:val="Nadpis2"/>
        <w:spacing w:line="360" w:lineRule="auto"/>
        <w:rPr>
          <w:rFonts w:ascii="Arial" w:hAnsi="Arial" w:cs="Arial"/>
          <w:sz w:val="26"/>
          <w:szCs w:val="26"/>
        </w:rPr>
      </w:pPr>
      <w:r w:rsidRPr="00481D5C">
        <w:rPr>
          <w:rFonts w:ascii="Arial" w:hAnsi="Arial" w:cs="Arial"/>
          <w:sz w:val="24"/>
          <w:szCs w:val="24"/>
        </w:rPr>
        <w:fldChar w:fldCharType="end"/>
      </w: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Pr="007017A6" w:rsidRDefault="00777C25" w:rsidP="00777C25">
      <w:pPr>
        <w:ind w:left="360"/>
        <w:rPr>
          <w:rFonts w:ascii="Arial" w:hAnsi="Arial" w:cs="Arial"/>
          <w:szCs w:val="26"/>
        </w:rPr>
      </w:pPr>
      <w:r w:rsidRPr="007017A6">
        <w:rPr>
          <w:rFonts w:ascii="Arial" w:hAnsi="Arial" w:cs="Arial"/>
          <w:szCs w:val="26"/>
        </w:rPr>
        <w:t>Anotace:</w:t>
      </w:r>
    </w:p>
    <w:p w:rsidR="00777C25" w:rsidRPr="007017A6" w:rsidRDefault="00777C25" w:rsidP="00777C25">
      <w:pPr>
        <w:ind w:left="360"/>
        <w:rPr>
          <w:rFonts w:ascii="Arial" w:hAnsi="Arial" w:cs="Arial"/>
          <w:szCs w:val="26"/>
        </w:rPr>
      </w:pPr>
    </w:p>
    <w:p w:rsidR="00777C25" w:rsidRPr="007017A6" w:rsidRDefault="00777C25" w:rsidP="00777C25">
      <w:pPr>
        <w:spacing w:before="120" w:after="120" w:line="360" w:lineRule="auto"/>
        <w:ind w:firstLine="709"/>
        <w:jc w:val="both"/>
        <w:rPr>
          <w:rFonts w:ascii="Arial" w:hAnsi="Arial" w:cs="Arial"/>
          <w:szCs w:val="26"/>
        </w:rPr>
      </w:pPr>
      <w:r w:rsidRPr="007017A6">
        <w:rPr>
          <w:rFonts w:ascii="Arial" w:hAnsi="Arial" w:cs="Arial"/>
          <w:szCs w:val="26"/>
        </w:rPr>
        <w:t xml:space="preserve">Semestrální práce na téma </w:t>
      </w:r>
      <w:r w:rsidR="000B7374" w:rsidRPr="007017A6">
        <w:rPr>
          <w:rFonts w:ascii="Arial" w:hAnsi="Arial" w:cs="Arial"/>
          <w:szCs w:val="26"/>
        </w:rPr>
        <w:t>„</w:t>
      </w:r>
      <w:r w:rsidR="00460F86">
        <w:rPr>
          <w:rFonts w:ascii="Arial" w:hAnsi="Arial" w:cs="Arial"/>
          <w:szCs w:val="26"/>
        </w:rPr>
        <w:t>..</w:t>
      </w:r>
      <w:r w:rsidR="00545F76">
        <w:rPr>
          <w:rFonts w:ascii="Arial" w:hAnsi="Arial" w:cs="Arial"/>
          <w:szCs w:val="26"/>
        </w:rPr>
        <w:t>.</w:t>
      </w:r>
    </w:p>
    <w:p w:rsidR="00777C25" w:rsidRPr="00063866" w:rsidRDefault="000B6287" w:rsidP="00777C25">
      <w:pPr>
        <w:pStyle w:val="Nadpis1"/>
        <w:numPr>
          <w:ilvl w:val="0"/>
          <w:numId w:val="5"/>
        </w:numPr>
        <w:ind w:left="357" w:hanging="357"/>
        <w:rPr>
          <w:rFonts w:ascii="Arial" w:hAnsi="Arial"/>
          <w:sz w:val="28"/>
          <w:u w:val="none"/>
        </w:rPr>
      </w:pPr>
      <w:r>
        <w:br w:type="page"/>
      </w:r>
      <w:bookmarkStart w:id="6" w:name="_Toc275595170"/>
      <w:r w:rsidR="00063866" w:rsidRPr="00063866">
        <w:rPr>
          <w:rFonts w:ascii="Arial" w:hAnsi="Arial"/>
          <w:sz w:val="28"/>
          <w:u w:val="none"/>
        </w:rPr>
        <w:lastRenderedPageBreak/>
        <w:t>Úvod</w:t>
      </w:r>
      <w:bookmarkEnd w:id="6"/>
    </w:p>
    <w:p w:rsidR="0092699A" w:rsidRDefault="00481D5C" w:rsidP="00555834">
      <w:pPr>
        <w:spacing w:before="120" w:after="120" w:line="360" w:lineRule="auto"/>
        <w:ind w:firstLine="709"/>
        <w:jc w:val="both"/>
        <w:rPr>
          <w:rFonts w:ascii="Arial" w:hAnsi="Arial" w:cs="Arial"/>
          <w:szCs w:val="26"/>
        </w:rPr>
      </w:pPr>
      <w:r w:rsidRPr="00481D5C">
        <w:rPr>
          <w:rFonts w:ascii="Arial" w:hAnsi="Arial" w:cs="Arial"/>
          <w:szCs w:val="26"/>
        </w:rPr>
        <w:t>Veřejná správa využívá řadu nástrojů pro zajištění přijatelné bezpečnosti i pro její řízení. Mezi základní nástroje lze řadit řízení založené na správných datech a kvalifikovaných metodách rozhodování, výchovu a vzdělávání občanů, specifickou výchovu řídících a technických pracovníků, standardy, normy, předpisy, inspekci, výkonné složky ke zvládnutí nouzových situací a plánování, bezpečnostní, územní, nouzové i krizové.</w:t>
      </w:r>
      <w:r>
        <w:rPr>
          <w:rFonts w:ascii="Arial" w:hAnsi="Arial" w:cs="Arial"/>
          <w:szCs w:val="26"/>
        </w:rPr>
        <w:t xml:space="preserve"> </w:t>
      </w:r>
      <w:r w:rsidR="0092699A" w:rsidRPr="0092699A">
        <w:rPr>
          <w:rFonts w:ascii="Arial" w:hAnsi="Arial" w:cs="Arial"/>
          <w:szCs w:val="26"/>
        </w:rPr>
        <w:t xml:space="preserve">V České republice se v přípravné fázi krizového řízení rozlišuje </w:t>
      </w:r>
      <w:r w:rsidR="0092699A" w:rsidRPr="0092699A">
        <w:rPr>
          <w:rFonts w:ascii="Arial" w:hAnsi="Arial" w:cs="Arial"/>
          <w:i/>
          <w:szCs w:val="26"/>
        </w:rPr>
        <w:t>civilní nouzové plánování</w:t>
      </w:r>
      <w:r w:rsidR="0092699A" w:rsidRPr="0092699A">
        <w:rPr>
          <w:rFonts w:ascii="Arial" w:hAnsi="Arial" w:cs="Arial"/>
          <w:szCs w:val="26"/>
        </w:rPr>
        <w:t xml:space="preserve"> a </w:t>
      </w:r>
      <w:r w:rsidR="0092699A" w:rsidRPr="0092699A">
        <w:rPr>
          <w:rFonts w:ascii="Arial" w:hAnsi="Arial" w:cs="Arial"/>
          <w:i/>
          <w:szCs w:val="26"/>
        </w:rPr>
        <w:t>obranné plánování</w:t>
      </w:r>
      <w:r w:rsidR="0092699A" w:rsidRPr="0092699A">
        <w:rPr>
          <w:rFonts w:ascii="Arial" w:hAnsi="Arial" w:cs="Arial"/>
          <w:szCs w:val="26"/>
        </w:rPr>
        <w:t xml:space="preserve">. Toto členění je důležité nejen z hlediska typu krizového stavu (vojenský, nevojenský), ale i z hlediska zajištění vnitřní či vnější bezpečnosti a použití odlišných prostředků a nástrojů. </w:t>
      </w:r>
    </w:p>
    <w:p w:rsidR="00337C91" w:rsidRDefault="005729D2" w:rsidP="00837ABF">
      <w:pPr>
        <w:pStyle w:val="Nadpis1"/>
        <w:numPr>
          <w:ilvl w:val="0"/>
          <w:numId w:val="5"/>
        </w:numPr>
        <w:ind w:left="357" w:hanging="357"/>
        <w:rPr>
          <w:rFonts w:ascii="Arial" w:hAnsi="Arial"/>
          <w:sz w:val="28"/>
          <w:u w:val="none"/>
        </w:rPr>
      </w:pPr>
      <w:bookmarkStart w:id="7" w:name="_Toc275595171"/>
      <w:r>
        <w:rPr>
          <w:rFonts w:ascii="Arial" w:hAnsi="Arial"/>
          <w:sz w:val="28"/>
          <w:u w:val="none"/>
        </w:rPr>
        <w:t>Územně plánovací dokumentace</w:t>
      </w:r>
      <w:bookmarkEnd w:id="7"/>
    </w:p>
    <w:p w:rsidR="001E11DF" w:rsidRDefault="000D05EC" w:rsidP="004C0AE4">
      <w:pPr>
        <w:spacing w:before="120" w:after="120" w:line="360" w:lineRule="auto"/>
        <w:ind w:firstLine="709"/>
        <w:jc w:val="both"/>
        <w:rPr>
          <w:rFonts w:ascii="Arial" w:hAnsi="Arial" w:cs="Arial"/>
        </w:rPr>
      </w:pPr>
      <w:r w:rsidRPr="000D05EC">
        <w:rPr>
          <w:rFonts w:ascii="Arial" w:hAnsi="Arial" w:cs="Arial"/>
        </w:rPr>
        <w:t>V rámci civilního nouzového plánování je vytvářeno několik druhů plánů, které na sebe navazují tak, aby byla zajištěna kontinuita činností a postupů s cílem eliminace riz</w:t>
      </w:r>
      <w:r>
        <w:rPr>
          <w:rFonts w:ascii="Arial" w:hAnsi="Arial" w:cs="Arial"/>
        </w:rPr>
        <w:t xml:space="preserve">ik a snižování dopadů. Nejdůležitější jsou </w:t>
      </w:r>
      <w:r w:rsidRPr="000D05EC">
        <w:rPr>
          <w:rFonts w:ascii="Arial" w:hAnsi="Arial" w:cs="Arial"/>
          <w:i/>
        </w:rPr>
        <w:t>územní plány</w:t>
      </w:r>
      <w:r w:rsidRPr="000D05EC">
        <w:rPr>
          <w:rFonts w:ascii="Arial" w:hAnsi="Arial" w:cs="Arial"/>
        </w:rPr>
        <w:t xml:space="preserve"> a </w:t>
      </w:r>
      <w:r w:rsidRPr="000D05EC">
        <w:rPr>
          <w:rFonts w:ascii="Arial" w:hAnsi="Arial" w:cs="Arial"/>
          <w:i/>
        </w:rPr>
        <w:t>plány rozvoje území</w:t>
      </w:r>
      <w:r w:rsidRPr="000D05EC">
        <w:rPr>
          <w:rFonts w:ascii="Arial" w:hAnsi="Arial" w:cs="Arial"/>
        </w:rPr>
        <w:t>. Jejich tvorba vyplývá ze zákona č. 183/2006 Sb., o územním plánování a stavebním řádu. Územní plány a plány rozvoje území řeší funkční využití území. Orgány územního plánování jsou povinny pořizovat územně plánovací dokumentaci v souladu s potřebami rozvoje území.</w:t>
      </w:r>
      <w:r w:rsidR="00E07C50">
        <w:rPr>
          <w:rFonts w:ascii="Arial" w:hAnsi="Arial" w:cs="Arial"/>
        </w:rPr>
        <w:t xml:space="preserve"> Územně plánovací dokumentací jsou zejména </w:t>
      </w:r>
      <w:r w:rsidR="00E07C50" w:rsidRPr="007E3712">
        <w:rPr>
          <w:rFonts w:ascii="Arial" w:hAnsi="Arial" w:cs="Arial"/>
          <w:i/>
        </w:rPr>
        <w:t>zásady územního rozvoje</w:t>
      </w:r>
      <w:r w:rsidR="0092025D" w:rsidRPr="007E3712">
        <w:rPr>
          <w:rFonts w:ascii="Arial" w:hAnsi="Arial" w:cs="Arial"/>
          <w:i/>
        </w:rPr>
        <w:t>,</w:t>
      </w:r>
      <w:r w:rsidR="00E07C50" w:rsidRPr="007E3712">
        <w:rPr>
          <w:rFonts w:ascii="Arial" w:hAnsi="Arial" w:cs="Arial"/>
          <w:i/>
        </w:rPr>
        <w:t xml:space="preserve"> územní a regulační plán</w:t>
      </w:r>
      <w:r w:rsidR="00E07C50">
        <w:rPr>
          <w:rFonts w:ascii="Arial" w:hAnsi="Arial" w:cs="Arial"/>
        </w:rPr>
        <w:t xml:space="preserve">. </w:t>
      </w:r>
    </w:p>
    <w:p w:rsidR="00E07C50" w:rsidRDefault="0092025D" w:rsidP="004C0AE4">
      <w:pPr>
        <w:spacing w:before="120" w:after="120" w:line="360" w:lineRule="auto"/>
        <w:ind w:firstLine="709"/>
        <w:jc w:val="both"/>
        <w:rPr>
          <w:rFonts w:ascii="Arial" w:hAnsi="Arial" w:cs="Arial"/>
        </w:rPr>
      </w:pPr>
      <w:r>
        <w:rPr>
          <w:rFonts w:ascii="Arial" w:hAnsi="Arial" w:cs="Arial"/>
        </w:rPr>
        <w:t xml:space="preserve">Zásady územního rozvoje se zpracovávají pro celý kraj a jeho zpracovatelem je Krajský úřad. </w:t>
      </w:r>
      <w:r w:rsidR="00C0438F">
        <w:rPr>
          <w:rFonts w:ascii="Arial" w:hAnsi="Arial" w:cs="Arial"/>
        </w:rPr>
        <w:t>Tyto zásady stanoví základní požadavky na účelné a hospodárné uspořádání kraje, vymezuje plochy a koridory nemístního významu a stanoví požadavky na jejich využití. Zejména plochy a koridory pro veřejně prospěšné stavby, veřejně prospěšná opatření a stanoví kriteria rozhodování o možných variantách změn v jejich využití.</w:t>
      </w:r>
    </w:p>
    <w:p w:rsidR="00634FBB" w:rsidRDefault="00CC6066" w:rsidP="004C0AE4">
      <w:pPr>
        <w:spacing w:before="120" w:after="120" w:line="360" w:lineRule="auto"/>
        <w:ind w:firstLine="709"/>
        <w:jc w:val="both"/>
        <w:rPr>
          <w:rFonts w:ascii="Arial" w:hAnsi="Arial" w:cs="Arial"/>
        </w:rPr>
      </w:pPr>
      <w:r>
        <w:rPr>
          <w:rFonts w:ascii="Arial" w:hAnsi="Arial" w:cs="Arial"/>
        </w:rPr>
        <w:t>Středočeský kraj je jediným krajem, v jehož středu leží jiný kraj (hlavní město Praha), a který sousedí se všemi českými kraji (Karlovarský, Ústecký, Liberecký, Královéhradecký, Pardubický, Vysočina, Jihočeský a Plzeňský kraj)</w:t>
      </w:r>
      <w:r w:rsidR="007E3712">
        <w:rPr>
          <w:rFonts w:ascii="Arial" w:hAnsi="Arial" w:cs="Arial"/>
        </w:rPr>
        <w:t xml:space="preserve">. </w:t>
      </w:r>
      <w:r w:rsidR="0092025D">
        <w:rPr>
          <w:rFonts w:ascii="Arial" w:hAnsi="Arial" w:cs="Arial"/>
        </w:rPr>
        <w:t xml:space="preserve">Krajský úřad Středočeského kraje pořizuje zásady územního rozvoje na základě zadání schváleného Zastupitelstvem dne 18. 6. 2008. </w:t>
      </w:r>
      <w:r w:rsidR="00615E41">
        <w:rPr>
          <w:rFonts w:ascii="Arial" w:hAnsi="Arial" w:cs="Arial"/>
        </w:rPr>
        <w:t>V současné době jsou, jak vyplývá z internetových stránek Středočeského kraje, stále ve fázi projednávání.</w:t>
      </w:r>
      <w:r w:rsidR="00615E41">
        <w:rPr>
          <w:rStyle w:val="Znakapoznpodarou"/>
          <w:rFonts w:ascii="Arial" w:hAnsi="Arial" w:cs="Arial"/>
        </w:rPr>
        <w:footnoteReference w:id="1"/>
      </w:r>
      <w:r w:rsidR="00615E41">
        <w:rPr>
          <w:rFonts w:ascii="Arial" w:hAnsi="Arial" w:cs="Arial"/>
        </w:rPr>
        <w:t xml:space="preserve"> Pro potřeby </w:t>
      </w:r>
      <w:r w:rsidR="00615E41">
        <w:rPr>
          <w:rFonts w:ascii="Arial" w:hAnsi="Arial" w:cs="Arial"/>
        </w:rPr>
        <w:lastRenderedPageBreak/>
        <w:t>územního plánování bylo stanoveno sedm územních celků, přičemž šest z nich má již územní plán schválený (Pražský region, Mladá, Střední Polabí, Rakovnicko, Benešovsko a Příbramsko). Mladoboleslavsko má zpracovanou a projednanou územní prognózu</w:t>
      </w:r>
      <w:r w:rsidR="0049540F">
        <w:rPr>
          <w:rFonts w:ascii="Arial" w:hAnsi="Arial" w:cs="Arial"/>
        </w:rPr>
        <w:t xml:space="preserve">. </w:t>
      </w:r>
    </w:p>
    <w:p w:rsidR="00634FBB" w:rsidRDefault="00E50117" w:rsidP="004C0AE4">
      <w:pPr>
        <w:spacing w:before="120" w:after="120" w:line="360" w:lineRule="auto"/>
        <w:ind w:firstLine="709"/>
        <w:jc w:val="both"/>
        <w:rPr>
          <w:rFonts w:ascii="Arial" w:hAnsi="Arial" w:cs="Arial"/>
        </w:rPr>
      </w:pPr>
      <w:r>
        <w:rPr>
          <w:rFonts w:ascii="Arial" w:hAnsi="Arial" w:cs="Arial"/>
        </w:rPr>
        <w:t xml:space="preserve">Územní plán </w:t>
      </w:r>
      <w:r w:rsidR="001E11DF">
        <w:rPr>
          <w:rFonts w:ascii="Arial" w:hAnsi="Arial" w:cs="Arial"/>
        </w:rPr>
        <w:t>je plánovacím dokumentem, který pořizuje obecní úřad obce s rozšířenou působností. Obsahuje koncepci rozvoje území obce, koncepci ochrany a rozvoje hodnot obce.</w:t>
      </w:r>
      <w:r w:rsidR="00242516">
        <w:rPr>
          <w:rFonts w:ascii="Arial" w:hAnsi="Arial" w:cs="Arial"/>
        </w:rPr>
        <w:t xml:space="preserve"> Pro </w:t>
      </w:r>
      <w:r w:rsidR="000E4215">
        <w:rPr>
          <w:rFonts w:ascii="Arial" w:hAnsi="Arial" w:cs="Arial"/>
        </w:rPr>
        <w:t xml:space="preserve">správní obvod </w:t>
      </w:r>
      <w:r w:rsidR="00242516">
        <w:rPr>
          <w:rFonts w:ascii="Arial" w:hAnsi="Arial" w:cs="Arial"/>
        </w:rPr>
        <w:t>obc</w:t>
      </w:r>
      <w:r w:rsidR="000E4215">
        <w:rPr>
          <w:rFonts w:ascii="Arial" w:hAnsi="Arial" w:cs="Arial"/>
        </w:rPr>
        <w:t>e</w:t>
      </w:r>
      <w:r w:rsidR="00242516">
        <w:rPr>
          <w:rFonts w:ascii="Arial" w:hAnsi="Arial" w:cs="Arial"/>
        </w:rPr>
        <w:t xml:space="preserve"> s rozšířenou působností Nymburk byly vypracovány v roce 2008 územně analytické podklady</w:t>
      </w:r>
      <w:r w:rsidR="000E4215">
        <w:rPr>
          <w:rFonts w:ascii="Arial" w:hAnsi="Arial" w:cs="Arial"/>
        </w:rPr>
        <w:t xml:space="preserve"> obsahující jak podklady pro rozbor udržitelného rozvoje území, tak rozbor udržitelného rozvoje území. V těchto podkladech jsou stanoveny limity využití území, vyhodnocení záměrů na </w:t>
      </w:r>
      <w:r w:rsidR="00F10DB7">
        <w:rPr>
          <w:rFonts w:ascii="Arial" w:hAnsi="Arial" w:cs="Arial"/>
        </w:rPr>
        <w:t>p</w:t>
      </w:r>
      <w:r w:rsidR="000E4215">
        <w:rPr>
          <w:rFonts w:ascii="Arial" w:hAnsi="Arial" w:cs="Arial"/>
        </w:rPr>
        <w:t xml:space="preserve">rovedení změn v území, </w:t>
      </w:r>
      <w:r w:rsidR="00F10DB7">
        <w:rPr>
          <w:rFonts w:ascii="Arial" w:hAnsi="Arial" w:cs="Arial"/>
        </w:rPr>
        <w:t>vypracovány swot analýzy pro všechny oblasti (od horninového prostředí a geologie, pro vodní režim, hygienu životního prostředí, ochranu přírody a krajiny, až po socioekonomickou oblast).</w:t>
      </w:r>
    </w:p>
    <w:p w:rsidR="00FD1600" w:rsidRDefault="00FD1600" w:rsidP="004C0AE4">
      <w:pPr>
        <w:spacing w:before="120" w:after="120" w:line="360" w:lineRule="auto"/>
        <w:ind w:firstLine="709"/>
        <w:jc w:val="both"/>
        <w:rPr>
          <w:rFonts w:ascii="Arial" w:hAnsi="Arial" w:cs="Arial"/>
        </w:rPr>
      </w:pPr>
      <w:r>
        <w:rPr>
          <w:rFonts w:ascii="Arial" w:hAnsi="Arial" w:cs="Arial"/>
        </w:rPr>
        <w:t xml:space="preserve">Územní plány </w:t>
      </w:r>
      <w:r w:rsidR="00BD774C">
        <w:rPr>
          <w:rFonts w:ascii="Arial" w:hAnsi="Arial" w:cs="Arial"/>
        </w:rPr>
        <w:t>obcí správního obvodu obce s rozšířenou působností jsou z valné většiny neustále ve stadiu projednávání. Územní plán města Nymburk prošel třetí změnou a je zveřejněn na internetových stránkách města.</w:t>
      </w:r>
      <w:r w:rsidR="00BD774C">
        <w:rPr>
          <w:rStyle w:val="Znakapoznpodarou"/>
          <w:rFonts w:ascii="Arial" w:hAnsi="Arial" w:cs="Arial"/>
        </w:rPr>
        <w:footnoteReference w:id="2"/>
      </w:r>
    </w:p>
    <w:p w:rsidR="00634FBB" w:rsidRDefault="00634FBB" w:rsidP="00634FBB">
      <w:pPr>
        <w:pStyle w:val="Nadpis1"/>
        <w:numPr>
          <w:ilvl w:val="0"/>
          <w:numId w:val="5"/>
        </w:numPr>
        <w:ind w:left="357" w:hanging="357"/>
        <w:rPr>
          <w:rFonts w:ascii="Arial" w:hAnsi="Arial"/>
          <w:sz w:val="28"/>
          <w:u w:val="none"/>
        </w:rPr>
      </w:pPr>
      <w:bookmarkStart w:id="8" w:name="_Toc275595172"/>
      <w:r>
        <w:rPr>
          <w:rFonts w:ascii="Arial" w:hAnsi="Arial"/>
          <w:sz w:val="28"/>
          <w:u w:val="none"/>
        </w:rPr>
        <w:t>Plánovací dokumentace IZS</w:t>
      </w:r>
      <w:bookmarkEnd w:id="8"/>
    </w:p>
    <w:p w:rsidR="00634FBB" w:rsidRPr="00634FBB" w:rsidRDefault="00634FBB" w:rsidP="00634FBB">
      <w:pPr>
        <w:spacing w:before="120" w:after="120" w:line="360" w:lineRule="auto"/>
        <w:ind w:firstLine="709"/>
        <w:jc w:val="both"/>
        <w:rPr>
          <w:rFonts w:ascii="Arial" w:hAnsi="Arial" w:cs="Arial"/>
        </w:rPr>
      </w:pPr>
      <w:r>
        <w:rPr>
          <w:rFonts w:ascii="Arial" w:hAnsi="Arial" w:cs="Arial"/>
        </w:rPr>
        <w:t xml:space="preserve">Na územní plány a plány rozvoje území popsané v předchozí kapitole </w:t>
      </w:r>
      <w:r w:rsidRPr="00634FBB">
        <w:rPr>
          <w:rFonts w:ascii="Arial" w:hAnsi="Arial" w:cs="Arial"/>
        </w:rPr>
        <w:t xml:space="preserve">navazují nouzové plány. Do skupiny nouzových plánů se řadí havarijní plány a jim na roveň postavené povodňové plány. Havarijní plány je možné rozdělit do 5 skupin. Havarijní plán kraje, který zpracovává Hasičský záchranný sbor a schvaluje jej hejtman, havarijní plán podle zákona č. 254/2001 Sb., o vodách a o změně některých zákonů, který zpracovává uživatel nebezpečné látky a schvaluje jej vodoprávní úřad. Dalšími havarijními plány jsou vnitřní a vnější plán podle zákona č. 59/2006 Sb., o prevenci závažných havárií pro objekty kategorie B a vnitřní havarijní plán pro objekty kategorie A. Vnitřní plány zpracovává provozovatel objektu a vnější opět HZS. Rozlišení objektů na kategorii A a B je prováděno dle přílohy tohoto zákona podle množství nebezpečných látek v objektu. Posledním z havarijních plánů je havarijní plán podle zákona č. 18/1997 Sb., atomového zákona, který je také zpracováván provozovatelem (vnitřní) a HZS (vnější). Jde o objekty zařazené podle tohoto zákona do 4. kategorie, tedy objekty s výrazným zdrojem záření. Dalším druhem nouzových plánů je povodňový plán. Právní úpravu nalézáme v zákoně č. 254/2001 Sb., o </w:t>
      </w:r>
      <w:r w:rsidRPr="00634FBB">
        <w:rPr>
          <w:rFonts w:ascii="Arial" w:hAnsi="Arial" w:cs="Arial"/>
        </w:rPr>
        <w:lastRenderedPageBreak/>
        <w:t xml:space="preserve">vodách a o změně některých zákonů. Povodňový plán je základním dokumentem ochrany před povodněmi a slouží ke koordinaci činností v daném území v době povodňové situace. Povodňové plány menších celků musí být v souladu s povodňovým plánem vyššího stupně. Zpracovávají ho obce, obce s rozšířenou působností, kraje, povodí a Ministerstvo životního prostředí zpracovává povodňový plán ČR. </w:t>
      </w:r>
    </w:p>
    <w:p w:rsidR="00A553EF" w:rsidRDefault="00634FBB" w:rsidP="00634FBB">
      <w:pPr>
        <w:spacing w:before="120" w:after="120" w:line="360" w:lineRule="auto"/>
        <w:ind w:firstLine="709"/>
        <w:jc w:val="both"/>
        <w:rPr>
          <w:rFonts w:ascii="Arial" w:hAnsi="Arial" w:cs="Arial"/>
        </w:rPr>
      </w:pPr>
      <w:r w:rsidRPr="00634FBB">
        <w:rPr>
          <w:rFonts w:ascii="Arial" w:hAnsi="Arial" w:cs="Arial"/>
        </w:rPr>
        <w:t>Na nouzové plány navazující krizové plány zohledňují pouze kritické pohromy. Krizový plán je souhrnným plánovacím dokumentem, kterým zákonem stanovené orgány krizového řízení plánují ve své věcné a územní působnosti opatření a postupy pro případ vzniku krizových situací. Právní úprava krizových plánů je dána zákonem č. 240/2000 Sb., o krizovém řízení a o změně některých zákonů a nařízením vlády č. 462/2000 Sb., k provedení § 27 odst. 8 a § 28 odst. 5 zákona č. 240/2000 Sb., o krizovém řízení a o změně některých zákonů. Krizové plány zpracovávají ministerstva, ústřední správní úřady, ČNB, kraj a určené obecní úřady.</w:t>
      </w:r>
    </w:p>
    <w:p w:rsidR="0066530E" w:rsidRDefault="0066530E" w:rsidP="00634FBB">
      <w:pPr>
        <w:spacing w:before="120" w:after="120" w:line="360" w:lineRule="auto"/>
        <w:ind w:firstLine="709"/>
        <w:jc w:val="both"/>
        <w:rPr>
          <w:rFonts w:ascii="Arial" w:hAnsi="Arial" w:cs="Arial"/>
        </w:rPr>
      </w:pPr>
      <w:r>
        <w:rPr>
          <w:rFonts w:ascii="Arial" w:hAnsi="Arial" w:cs="Arial"/>
        </w:rPr>
        <w:t xml:space="preserve">Pro Středočeský kraj je zpracována dokumentace krizového řízení obsahující krizový plán kraje. Jeho přílohovou část tvoří řada dokumentů – přehled sil a prostředků včetně jejich počtu a využitelnosti, katalog krizových opatření, typové plány, operační plány, plány regulačních opatření, havarijní plán včetně vnějších havarijních plánů, povodňový plán, pandemický plán, pohotovostní plán pro případ výskytu nebezpečné nákazy zvířat, plán nezbytných dodávek aj. Součástí krizového plánu je plán krizové připravenosti, který zpracovávají právnické a podnikající fyzické osoby ke zvládnutí krizové situace. Tento plán obsahuje </w:t>
      </w:r>
      <w:r w:rsidR="000B4FF8">
        <w:rPr>
          <w:rFonts w:ascii="Arial" w:hAnsi="Arial" w:cs="Arial"/>
        </w:rPr>
        <w:t>výpis z krizového plánu příslušného orgánu krizového řízení, plán akceschopnosti zpracovatele, který stanoví postupy a termíny připravenosti k plnění úkolů, plán krizových opatření, vnitřní havarijní plán a další plány a dokumentaci.</w:t>
      </w:r>
    </w:p>
    <w:p w:rsidR="000B4FF8" w:rsidRDefault="000B4FF8" w:rsidP="00634FBB">
      <w:pPr>
        <w:spacing w:before="120" w:after="120" w:line="360" w:lineRule="auto"/>
        <w:ind w:firstLine="709"/>
        <w:jc w:val="both"/>
        <w:rPr>
          <w:rFonts w:ascii="Arial" w:hAnsi="Arial" w:cs="Arial"/>
        </w:rPr>
      </w:pPr>
      <w:r>
        <w:rPr>
          <w:rFonts w:ascii="Arial" w:hAnsi="Arial" w:cs="Arial"/>
        </w:rPr>
        <w:t>Dokumentací integrovaného záchranného systém</w:t>
      </w:r>
      <w:r w:rsidR="009456BF">
        <w:rPr>
          <w:rFonts w:ascii="Arial" w:hAnsi="Arial" w:cs="Arial"/>
        </w:rPr>
        <w:t xml:space="preserve">u je </w:t>
      </w:r>
      <w:r w:rsidR="009456BF" w:rsidRPr="009456BF">
        <w:rPr>
          <w:rFonts w:ascii="Arial" w:hAnsi="Arial" w:cs="Arial"/>
          <w:i/>
        </w:rPr>
        <w:t>H</w:t>
      </w:r>
      <w:r w:rsidRPr="009456BF">
        <w:rPr>
          <w:rFonts w:ascii="Arial" w:hAnsi="Arial" w:cs="Arial"/>
          <w:i/>
        </w:rPr>
        <w:t>avarijní plán Středočeského kraje</w:t>
      </w:r>
      <w:r>
        <w:rPr>
          <w:rFonts w:ascii="Arial" w:hAnsi="Arial" w:cs="Arial"/>
        </w:rPr>
        <w:t xml:space="preserve">, který zabezpečuje Hasičský záchranný sbor Středočeského kraje a který se člení na informační a operativní část. Havarijní plán Středočeského kraje obsahuje plány konkrétních činností (např. vyrozumění, varování obyvatelstva, ukrytí obyvatelstva, </w:t>
      </w:r>
      <w:r w:rsidR="009456BF">
        <w:rPr>
          <w:rFonts w:ascii="Arial" w:hAnsi="Arial" w:cs="Arial"/>
        </w:rPr>
        <w:t xml:space="preserve">ochranu kulturních památek, odstranění odpadů aj.). Pro objekty a zařízení ve Středočeském kraji, u kterých je možnost vzniku závažné havárie podle zákona č. 59/2006 Sb., o prevenci závažných havárií, je zpracován Vnější havarijní </w:t>
      </w:r>
      <w:r w:rsidR="009456BF">
        <w:rPr>
          <w:rFonts w:ascii="Arial" w:hAnsi="Arial" w:cs="Arial"/>
        </w:rPr>
        <w:lastRenderedPageBreak/>
        <w:t>plán.</w:t>
      </w:r>
      <w:r w:rsidR="009456BF">
        <w:rPr>
          <w:rStyle w:val="Znakapoznpodarou"/>
          <w:rFonts w:ascii="Arial" w:hAnsi="Arial" w:cs="Arial"/>
        </w:rPr>
        <w:footnoteReference w:id="3"/>
      </w:r>
      <w:r w:rsidR="009456BF">
        <w:rPr>
          <w:rFonts w:ascii="Arial" w:hAnsi="Arial" w:cs="Arial"/>
        </w:rPr>
        <w:t xml:space="preserve"> Krajský úřad Středočeského kraje je povinen zajistit zpřístupnění vnějších havarijních plánů v zóně havarijního plánování provozovatelů ve skupině B na svém území. Tyto dokumenty jsou zpřístupněny veřejnosti v úředních hodinách krajského úřadu. </w:t>
      </w:r>
    </w:p>
    <w:p w:rsidR="009456BF" w:rsidRDefault="009456BF" w:rsidP="00634FBB">
      <w:pPr>
        <w:spacing w:before="120" w:after="120" w:line="360" w:lineRule="auto"/>
        <w:ind w:firstLine="709"/>
        <w:jc w:val="both"/>
        <w:rPr>
          <w:rFonts w:ascii="Arial" w:hAnsi="Arial" w:cs="Arial"/>
        </w:rPr>
      </w:pPr>
      <w:r>
        <w:rPr>
          <w:rFonts w:ascii="Arial" w:hAnsi="Arial" w:cs="Arial"/>
        </w:rPr>
        <w:t>Ve městě Nymburk není subjekt</w:t>
      </w:r>
      <w:r w:rsidR="00447734">
        <w:rPr>
          <w:rFonts w:ascii="Arial" w:hAnsi="Arial" w:cs="Arial"/>
        </w:rPr>
        <w:t>, který by byl zařazen do skupiny B</w:t>
      </w:r>
      <w:r w:rsidR="00792FC0">
        <w:rPr>
          <w:rFonts w:ascii="Arial" w:hAnsi="Arial" w:cs="Arial"/>
        </w:rPr>
        <w:t xml:space="preserve"> a pro který by byla stanovena zóna havarijního plánování</w:t>
      </w:r>
      <w:r w:rsidR="00447734">
        <w:rPr>
          <w:rFonts w:ascii="Arial" w:hAnsi="Arial" w:cs="Arial"/>
        </w:rPr>
        <w:t xml:space="preserve">. Ve správním obvodu obce s rozšířenou působností Nymburk, se nachází dva subjekty mající povinnost tvorby havarijního plánu. Jedná se o společnost ZZN Polabí a.s., která má ve správním obvodu sklad agrochemikálií, a společnost </w:t>
      </w:r>
      <w:r w:rsidR="00982C84">
        <w:rPr>
          <w:rFonts w:ascii="Arial" w:hAnsi="Arial" w:cs="Arial"/>
        </w:rPr>
        <w:t>Crystal Bohemia a.s., provozující sklárnu.</w:t>
      </w:r>
      <w:r w:rsidR="00643554">
        <w:rPr>
          <w:rFonts w:ascii="Arial" w:hAnsi="Arial" w:cs="Arial"/>
        </w:rPr>
        <w:t xml:space="preserve"> Přímo v Nymburce sídlí společnost Donauchem s.r.o., která je však pouze na mapě Rozmístění provozovatelů rizikových činností, nikoliv v seznamu subjektů, zveřejňující havarijní plán. Společnost Donauchem s.r.o. je velkým distributorem chemikálií pro střední Evropu. </w:t>
      </w:r>
      <w:r w:rsidR="00792FC0">
        <w:rPr>
          <w:rFonts w:ascii="Arial" w:hAnsi="Arial" w:cs="Arial"/>
        </w:rPr>
        <w:t xml:space="preserve">Pro tuto společnost nebyla stanovena zóna havarijního plánování. </w:t>
      </w:r>
      <w:r w:rsidR="00643554">
        <w:rPr>
          <w:rFonts w:ascii="Arial" w:hAnsi="Arial" w:cs="Arial"/>
        </w:rPr>
        <w:t>Stejně tak v Nymburce sídlí společnost Ga Granchem a.s. zabývající se skladováním a prodejem agrochemikálií a průmyslových hnojiv.</w:t>
      </w:r>
      <w:r w:rsidR="00792FC0">
        <w:rPr>
          <w:rStyle w:val="Znakapoznpodarou"/>
          <w:rFonts w:ascii="Arial" w:hAnsi="Arial" w:cs="Arial"/>
        </w:rPr>
        <w:footnoteReference w:id="4"/>
      </w:r>
    </w:p>
    <w:p w:rsidR="006B4770" w:rsidRDefault="00460F86" w:rsidP="00634FBB">
      <w:pPr>
        <w:spacing w:before="120" w:after="120" w:line="360" w:lineRule="auto"/>
        <w:ind w:firstLine="709"/>
        <w:jc w:val="both"/>
        <w:rPr>
          <w:rFonts w:ascii="Arial" w:hAnsi="Arial" w:cs="Arial"/>
        </w:rPr>
      </w:pPr>
      <w:r>
        <w:rPr>
          <w:rFonts w:ascii="Arial" w:hAnsi="Arial" w:cs="Arial"/>
        </w:rPr>
        <w:t>Součástí dokumentace IZS jsou kromě zmiňovaného havarijního plánu kraje a vnějších havarijních plán i typové činnosti složek IZS při společném zásahu. Typové činnosti jsou metodickou normou, na kterou navazují závazné interní předpisy jednotlivých složek IZS. Přehled zpracovaných typových činností je zveřejněn na stránkách Ministerstva vnitra. Pro koordinaci záchranných a likvidačních prací na úrovni Středočeského kraje je zpracován poplachových plán. Jeho zpracování zabezpečuje HZS Středočeského kraje a vydává ho Rada Stře</w:t>
      </w:r>
      <w:r w:rsidR="00AD3685">
        <w:rPr>
          <w:rFonts w:ascii="Arial" w:hAnsi="Arial" w:cs="Arial"/>
        </w:rPr>
        <w:t>dočeského kraje svým nařízením.</w:t>
      </w:r>
    </w:p>
    <w:p w:rsidR="009C44FA" w:rsidRDefault="009C44FA" w:rsidP="00837ABF">
      <w:pPr>
        <w:pStyle w:val="Nadpis1"/>
        <w:numPr>
          <w:ilvl w:val="0"/>
          <w:numId w:val="5"/>
        </w:numPr>
        <w:ind w:left="357" w:hanging="357"/>
        <w:rPr>
          <w:rFonts w:ascii="Arial" w:hAnsi="Arial"/>
          <w:sz w:val="28"/>
          <w:u w:val="none"/>
        </w:rPr>
      </w:pPr>
      <w:bookmarkStart w:id="9" w:name="_Toc275595173"/>
      <w:r>
        <w:rPr>
          <w:rFonts w:ascii="Arial" w:hAnsi="Arial"/>
          <w:sz w:val="28"/>
          <w:u w:val="none"/>
        </w:rPr>
        <w:t>Závěr</w:t>
      </w:r>
      <w:bookmarkEnd w:id="9"/>
    </w:p>
    <w:p w:rsidR="00F02958" w:rsidRPr="00786A19" w:rsidRDefault="00203A13" w:rsidP="00930388">
      <w:pPr>
        <w:spacing w:before="120" w:after="120" w:line="360" w:lineRule="auto"/>
        <w:ind w:firstLine="709"/>
        <w:jc w:val="both"/>
        <w:rPr>
          <w:rFonts w:ascii="Arial" w:hAnsi="Arial" w:cs="Arial"/>
          <w:szCs w:val="26"/>
        </w:rPr>
      </w:pPr>
      <w:r>
        <w:rPr>
          <w:rFonts w:ascii="Arial" w:hAnsi="Arial" w:cs="Arial"/>
          <w:szCs w:val="26"/>
        </w:rPr>
        <w:t xml:space="preserve">V druhé kapitole byla zmíněna nutnost </w:t>
      </w:r>
      <w:r>
        <w:rPr>
          <w:rFonts w:ascii="Arial" w:hAnsi="Arial" w:cs="Arial"/>
        </w:rPr>
        <w:t>zajištění</w:t>
      </w:r>
      <w:r w:rsidRPr="000D05EC">
        <w:rPr>
          <w:rFonts w:ascii="Arial" w:hAnsi="Arial" w:cs="Arial"/>
        </w:rPr>
        <w:t xml:space="preserve"> kontinuit</w:t>
      </w:r>
      <w:r>
        <w:rPr>
          <w:rFonts w:ascii="Arial" w:hAnsi="Arial" w:cs="Arial"/>
        </w:rPr>
        <w:t>y</w:t>
      </w:r>
      <w:r w:rsidRPr="000D05EC">
        <w:rPr>
          <w:rFonts w:ascii="Arial" w:hAnsi="Arial" w:cs="Arial"/>
        </w:rPr>
        <w:t xml:space="preserve"> činností a postupů s cílem eliminace riz</w:t>
      </w:r>
      <w:r>
        <w:rPr>
          <w:rFonts w:ascii="Arial" w:hAnsi="Arial" w:cs="Arial"/>
        </w:rPr>
        <w:t>ik a snižování dopadů.</w:t>
      </w:r>
      <w:r>
        <w:rPr>
          <w:rFonts w:ascii="Arial" w:hAnsi="Arial" w:cs="Arial"/>
          <w:szCs w:val="26"/>
        </w:rPr>
        <w:t xml:space="preserve"> Všechny plány jsou v pravidelný</w:t>
      </w:r>
      <w:r w:rsidR="00C652F5">
        <w:rPr>
          <w:rFonts w:ascii="Arial" w:hAnsi="Arial" w:cs="Arial"/>
          <w:szCs w:val="26"/>
        </w:rPr>
        <w:t>ch</w:t>
      </w:r>
      <w:r>
        <w:rPr>
          <w:rFonts w:ascii="Arial" w:hAnsi="Arial" w:cs="Arial"/>
          <w:szCs w:val="26"/>
        </w:rPr>
        <w:t xml:space="preserve"> intervalech aktualizovány a činnosti v nich popsané nacvičovány tak, aby byla zajištěna ochrana chráněných zájmů, tedy životů, zdraví, majetku a udržitelného rozvoje.</w:t>
      </w:r>
    </w:p>
    <w:p w:rsidR="009C44FA" w:rsidRDefault="009C44FA" w:rsidP="00837ABF">
      <w:pPr>
        <w:pStyle w:val="Nadpis1"/>
        <w:numPr>
          <w:ilvl w:val="0"/>
          <w:numId w:val="5"/>
        </w:numPr>
        <w:ind w:left="357" w:hanging="357"/>
        <w:rPr>
          <w:rFonts w:ascii="Arial" w:hAnsi="Arial"/>
          <w:sz w:val="28"/>
          <w:u w:val="none"/>
        </w:rPr>
      </w:pPr>
      <w:bookmarkStart w:id="10" w:name="OLE_LINK1"/>
      <w:bookmarkStart w:id="11" w:name="OLE_LINK2"/>
      <w:bookmarkStart w:id="12" w:name="_Toc275595174"/>
      <w:r>
        <w:rPr>
          <w:rFonts w:ascii="Arial" w:hAnsi="Arial"/>
          <w:sz w:val="28"/>
          <w:u w:val="none"/>
        </w:rPr>
        <w:lastRenderedPageBreak/>
        <w:t>Použitá literatura</w:t>
      </w:r>
      <w:bookmarkEnd w:id="12"/>
    </w:p>
    <w:bookmarkEnd w:id="10"/>
    <w:bookmarkEnd w:id="11"/>
    <w:p w:rsidR="000D5A48" w:rsidRDefault="005A728F" w:rsidP="009C05D7">
      <w:pPr>
        <w:numPr>
          <w:ilvl w:val="0"/>
          <w:numId w:val="10"/>
        </w:numPr>
        <w:spacing w:line="360" w:lineRule="auto"/>
        <w:jc w:val="both"/>
        <w:rPr>
          <w:rFonts w:ascii="Arial" w:hAnsi="Arial" w:cs="Arial"/>
        </w:rPr>
      </w:pPr>
      <w:r w:rsidRPr="00FE3DA4">
        <w:rPr>
          <w:rFonts w:ascii="Arial" w:hAnsi="Arial" w:cs="Arial"/>
        </w:rPr>
        <w:t>Přednášky a skripta vyučujících na PA ČR, použité pro zpracování studijních textů</w:t>
      </w:r>
      <w:r w:rsidR="008250E0" w:rsidRPr="00FE3DA4">
        <w:rPr>
          <w:rFonts w:ascii="Arial" w:hAnsi="Arial" w:cs="Arial"/>
        </w:rPr>
        <w:t xml:space="preserve"> </w:t>
      </w:r>
    </w:p>
    <w:p w:rsidR="008C0606" w:rsidRPr="00D9620C" w:rsidRDefault="008C0606" w:rsidP="009C05D7">
      <w:pPr>
        <w:numPr>
          <w:ilvl w:val="0"/>
          <w:numId w:val="10"/>
        </w:numPr>
        <w:spacing w:line="360" w:lineRule="auto"/>
        <w:jc w:val="both"/>
        <w:rPr>
          <w:rFonts w:ascii="Arial" w:hAnsi="Arial" w:cs="Arial"/>
        </w:rPr>
      </w:pPr>
      <w:r>
        <w:rPr>
          <w:rFonts w:ascii="Arial" w:hAnsi="Arial" w:cs="Arial"/>
        </w:rPr>
        <w:t>Internetové portály a vyhledavače uvedené jako citace</w:t>
      </w:r>
    </w:p>
    <w:sectPr w:rsidR="008C0606" w:rsidRPr="00D9620C" w:rsidSect="002B2627">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9CF" w:rsidRDefault="001819CF" w:rsidP="00505679">
      <w:r>
        <w:separator/>
      </w:r>
    </w:p>
  </w:endnote>
  <w:endnote w:type="continuationSeparator" w:id="0">
    <w:p w:rsidR="001819CF" w:rsidRDefault="001819CF" w:rsidP="005056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A9" w:rsidRDefault="002902A9">
    <w:pPr>
      <w:pStyle w:val="Zpat"/>
    </w:pPr>
    <w:fldSimple w:instr=" PAGE   \* MERGEFORMAT ">
      <w:r w:rsidR="007E0A6E">
        <w:rPr>
          <w:noProof/>
        </w:rPr>
        <w:t>2</w:t>
      </w:r>
    </w:fldSimple>
  </w:p>
  <w:p w:rsidR="00804AE0" w:rsidRDefault="00804AE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9CF" w:rsidRDefault="001819CF" w:rsidP="00505679">
      <w:r>
        <w:separator/>
      </w:r>
    </w:p>
  </w:footnote>
  <w:footnote w:type="continuationSeparator" w:id="0">
    <w:p w:rsidR="001819CF" w:rsidRDefault="001819CF" w:rsidP="00505679">
      <w:r>
        <w:continuationSeparator/>
      </w:r>
    </w:p>
  </w:footnote>
  <w:footnote w:id="1">
    <w:p w:rsidR="00615E41" w:rsidRDefault="00615E41">
      <w:pPr>
        <w:pStyle w:val="Textpoznpodarou"/>
      </w:pPr>
      <w:r>
        <w:rPr>
          <w:rStyle w:val="Znakapoznpodarou"/>
        </w:rPr>
        <w:footnoteRef/>
      </w:r>
      <w:r>
        <w:t xml:space="preserve"> </w:t>
      </w:r>
      <w:r w:rsidRPr="00615E41">
        <w:t>http://www.kr-stredocesky.cz/portal/stredocesky-kraj/uzemni-planovani/</w:t>
      </w:r>
    </w:p>
  </w:footnote>
  <w:footnote w:id="2">
    <w:p w:rsidR="00BD774C" w:rsidRDefault="00BD774C">
      <w:pPr>
        <w:pStyle w:val="Textpoznpodarou"/>
      </w:pPr>
      <w:r>
        <w:rPr>
          <w:rStyle w:val="Znakapoznpodarou"/>
        </w:rPr>
        <w:footnoteRef/>
      </w:r>
      <w:r>
        <w:t xml:space="preserve"> </w:t>
      </w:r>
      <w:r w:rsidRPr="00BD774C">
        <w:t>http://www.mesto-nymburk.cz/www/index.php?sekce=1&amp;zobraz=uzemni-plan</w:t>
      </w:r>
    </w:p>
  </w:footnote>
  <w:footnote w:id="3">
    <w:p w:rsidR="009456BF" w:rsidRDefault="009456BF">
      <w:pPr>
        <w:pStyle w:val="Textpoznpodarou"/>
      </w:pPr>
      <w:r>
        <w:rPr>
          <w:rStyle w:val="Znakapoznpodarou"/>
        </w:rPr>
        <w:footnoteRef/>
      </w:r>
      <w:r>
        <w:t xml:space="preserve"> </w:t>
      </w:r>
      <w:r w:rsidRPr="009456BF">
        <w:t>http://www.kr-stredocesky.cz/portal/instituce/krizove-rizeni/planovaci-dokumentace/</w:t>
      </w:r>
    </w:p>
  </w:footnote>
  <w:footnote w:id="4">
    <w:p w:rsidR="00792FC0" w:rsidRDefault="00792FC0">
      <w:pPr>
        <w:pStyle w:val="Textpoznpodarou"/>
      </w:pPr>
      <w:r>
        <w:rPr>
          <w:rStyle w:val="Znakapoznpodarou"/>
        </w:rPr>
        <w:footnoteRef/>
      </w:r>
      <w:r>
        <w:t xml:space="preserve"> </w:t>
      </w:r>
      <w:r w:rsidRPr="00792FC0">
        <w:t>http://www.kr-stredocesky.cz/portal/odbory/zivotni-prostredi-a-zemedelstvi/prevence-zavaznych-havarii/aktuality/zpristupneni-vnejsich-havarijnich-planu.htm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549C88"/>
    <w:lvl w:ilvl="0">
      <w:start w:val="1"/>
      <w:numFmt w:val="decimal"/>
      <w:lvlText w:val="%1."/>
      <w:lvlJc w:val="left"/>
      <w:pPr>
        <w:tabs>
          <w:tab w:val="num" w:pos="1492"/>
        </w:tabs>
        <w:ind w:left="1492" w:hanging="360"/>
      </w:pPr>
    </w:lvl>
  </w:abstractNum>
  <w:abstractNum w:abstractNumId="1">
    <w:nsid w:val="FFFFFF7D"/>
    <w:multiLevelType w:val="singleLevel"/>
    <w:tmpl w:val="128CEF48"/>
    <w:lvl w:ilvl="0">
      <w:start w:val="1"/>
      <w:numFmt w:val="decimal"/>
      <w:lvlText w:val="%1."/>
      <w:lvlJc w:val="left"/>
      <w:pPr>
        <w:tabs>
          <w:tab w:val="num" w:pos="1209"/>
        </w:tabs>
        <w:ind w:left="1209" w:hanging="360"/>
      </w:pPr>
    </w:lvl>
  </w:abstractNum>
  <w:abstractNum w:abstractNumId="2">
    <w:nsid w:val="FFFFFF7E"/>
    <w:multiLevelType w:val="singleLevel"/>
    <w:tmpl w:val="262850E6"/>
    <w:lvl w:ilvl="0">
      <w:start w:val="1"/>
      <w:numFmt w:val="decimal"/>
      <w:lvlText w:val="%1."/>
      <w:lvlJc w:val="left"/>
      <w:pPr>
        <w:tabs>
          <w:tab w:val="num" w:pos="926"/>
        </w:tabs>
        <w:ind w:left="926" w:hanging="360"/>
      </w:pPr>
    </w:lvl>
  </w:abstractNum>
  <w:abstractNum w:abstractNumId="3">
    <w:nsid w:val="FFFFFF7F"/>
    <w:multiLevelType w:val="singleLevel"/>
    <w:tmpl w:val="4A120892"/>
    <w:lvl w:ilvl="0">
      <w:start w:val="1"/>
      <w:numFmt w:val="decimal"/>
      <w:lvlText w:val="%1."/>
      <w:lvlJc w:val="left"/>
      <w:pPr>
        <w:tabs>
          <w:tab w:val="num" w:pos="643"/>
        </w:tabs>
        <w:ind w:left="643" w:hanging="360"/>
      </w:pPr>
    </w:lvl>
  </w:abstractNum>
  <w:abstractNum w:abstractNumId="4">
    <w:nsid w:val="FFFFFF80"/>
    <w:multiLevelType w:val="singleLevel"/>
    <w:tmpl w:val="0712AD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3C93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5092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8ACB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F2F504"/>
    <w:lvl w:ilvl="0">
      <w:start w:val="1"/>
      <w:numFmt w:val="decimal"/>
      <w:lvlText w:val="%1."/>
      <w:lvlJc w:val="left"/>
      <w:pPr>
        <w:tabs>
          <w:tab w:val="num" w:pos="360"/>
        </w:tabs>
        <w:ind w:left="360" w:hanging="360"/>
      </w:pPr>
    </w:lvl>
  </w:abstractNum>
  <w:abstractNum w:abstractNumId="9">
    <w:nsid w:val="FFFFFF89"/>
    <w:multiLevelType w:val="singleLevel"/>
    <w:tmpl w:val="6616D6D6"/>
    <w:lvl w:ilvl="0">
      <w:start w:val="1"/>
      <w:numFmt w:val="bullet"/>
      <w:lvlText w:val=""/>
      <w:lvlJc w:val="left"/>
      <w:pPr>
        <w:tabs>
          <w:tab w:val="num" w:pos="360"/>
        </w:tabs>
        <w:ind w:left="360" w:hanging="360"/>
      </w:pPr>
      <w:rPr>
        <w:rFonts w:ascii="Symbol" w:hAnsi="Symbol" w:hint="default"/>
      </w:rPr>
    </w:lvl>
  </w:abstractNum>
  <w:abstractNum w:abstractNumId="10">
    <w:nsid w:val="0AD007E6"/>
    <w:multiLevelType w:val="multilevel"/>
    <w:tmpl w:val="84BEFBE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672E08"/>
    <w:multiLevelType w:val="hybridMultilevel"/>
    <w:tmpl w:val="49E077A6"/>
    <w:lvl w:ilvl="0" w:tplc="73B69472">
      <w:start w:val="1"/>
      <w:numFmt w:val="bullet"/>
      <w:lvlText w:val="-"/>
      <w:lvlJc w:val="left"/>
      <w:pPr>
        <w:tabs>
          <w:tab w:val="num" w:pos="720"/>
        </w:tabs>
        <w:ind w:left="720"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0BC410E5"/>
    <w:multiLevelType w:val="multilevel"/>
    <w:tmpl w:val="74CC2514"/>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0F310F3E"/>
    <w:multiLevelType w:val="hybridMultilevel"/>
    <w:tmpl w:val="018CD1C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nsid w:val="28A6335D"/>
    <w:multiLevelType w:val="hybridMultilevel"/>
    <w:tmpl w:val="7A6C1B5E"/>
    <w:lvl w:ilvl="0" w:tplc="66B23C38">
      <w:numFmt w:val="bullet"/>
      <w:lvlText w:val="-"/>
      <w:lvlJc w:val="left"/>
      <w:pPr>
        <w:tabs>
          <w:tab w:val="num" w:pos="420"/>
        </w:tabs>
        <w:ind w:left="420" w:hanging="360"/>
      </w:pPr>
      <w:rPr>
        <w:rFonts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2A497918"/>
    <w:multiLevelType w:val="hybridMultilevel"/>
    <w:tmpl w:val="AF98E356"/>
    <w:lvl w:ilvl="0" w:tplc="EF5069E8">
      <w:start w:val="1"/>
      <w:numFmt w:val="bullet"/>
      <w:lvlText w:val="•"/>
      <w:lvlJc w:val="left"/>
      <w:pPr>
        <w:tabs>
          <w:tab w:val="num" w:pos="720"/>
        </w:tabs>
        <w:ind w:left="720" w:hanging="360"/>
      </w:pPr>
      <w:rPr>
        <w:rFonts w:ascii="Times New Roman" w:hAnsi="Times New Roman" w:hint="default"/>
      </w:rPr>
    </w:lvl>
    <w:lvl w:ilvl="1" w:tplc="6F8CD2CA" w:tentative="1">
      <w:start w:val="1"/>
      <w:numFmt w:val="bullet"/>
      <w:lvlText w:val="•"/>
      <w:lvlJc w:val="left"/>
      <w:pPr>
        <w:tabs>
          <w:tab w:val="num" w:pos="1440"/>
        </w:tabs>
        <w:ind w:left="1440" w:hanging="360"/>
      </w:pPr>
      <w:rPr>
        <w:rFonts w:ascii="Times New Roman" w:hAnsi="Times New Roman" w:hint="default"/>
      </w:rPr>
    </w:lvl>
    <w:lvl w:ilvl="2" w:tplc="0AA6FC9E" w:tentative="1">
      <w:start w:val="1"/>
      <w:numFmt w:val="bullet"/>
      <w:lvlText w:val="•"/>
      <w:lvlJc w:val="left"/>
      <w:pPr>
        <w:tabs>
          <w:tab w:val="num" w:pos="2160"/>
        </w:tabs>
        <w:ind w:left="2160" w:hanging="360"/>
      </w:pPr>
      <w:rPr>
        <w:rFonts w:ascii="Times New Roman" w:hAnsi="Times New Roman" w:hint="default"/>
      </w:rPr>
    </w:lvl>
    <w:lvl w:ilvl="3" w:tplc="C3423914" w:tentative="1">
      <w:start w:val="1"/>
      <w:numFmt w:val="bullet"/>
      <w:lvlText w:val="•"/>
      <w:lvlJc w:val="left"/>
      <w:pPr>
        <w:tabs>
          <w:tab w:val="num" w:pos="2880"/>
        </w:tabs>
        <w:ind w:left="2880" w:hanging="360"/>
      </w:pPr>
      <w:rPr>
        <w:rFonts w:ascii="Times New Roman" w:hAnsi="Times New Roman" w:hint="default"/>
      </w:rPr>
    </w:lvl>
    <w:lvl w:ilvl="4" w:tplc="18386A1C" w:tentative="1">
      <w:start w:val="1"/>
      <w:numFmt w:val="bullet"/>
      <w:lvlText w:val="•"/>
      <w:lvlJc w:val="left"/>
      <w:pPr>
        <w:tabs>
          <w:tab w:val="num" w:pos="3600"/>
        </w:tabs>
        <w:ind w:left="3600" w:hanging="360"/>
      </w:pPr>
      <w:rPr>
        <w:rFonts w:ascii="Times New Roman" w:hAnsi="Times New Roman" w:hint="default"/>
      </w:rPr>
    </w:lvl>
    <w:lvl w:ilvl="5" w:tplc="50FE7DAC" w:tentative="1">
      <w:start w:val="1"/>
      <w:numFmt w:val="bullet"/>
      <w:lvlText w:val="•"/>
      <w:lvlJc w:val="left"/>
      <w:pPr>
        <w:tabs>
          <w:tab w:val="num" w:pos="4320"/>
        </w:tabs>
        <w:ind w:left="4320" w:hanging="360"/>
      </w:pPr>
      <w:rPr>
        <w:rFonts w:ascii="Times New Roman" w:hAnsi="Times New Roman" w:hint="default"/>
      </w:rPr>
    </w:lvl>
    <w:lvl w:ilvl="6" w:tplc="C2F860E2" w:tentative="1">
      <w:start w:val="1"/>
      <w:numFmt w:val="bullet"/>
      <w:lvlText w:val="•"/>
      <w:lvlJc w:val="left"/>
      <w:pPr>
        <w:tabs>
          <w:tab w:val="num" w:pos="5040"/>
        </w:tabs>
        <w:ind w:left="5040" w:hanging="360"/>
      </w:pPr>
      <w:rPr>
        <w:rFonts w:ascii="Times New Roman" w:hAnsi="Times New Roman" w:hint="default"/>
      </w:rPr>
    </w:lvl>
    <w:lvl w:ilvl="7" w:tplc="11D0B7E4" w:tentative="1">
      <w:start w:val="1"/>
      <w:numFmt w:val="bullet"/>
      <w:lvlText w:val="•"/>
      <w:lvlJc w:val="left"/>
      <w:pPr>
        <w:tabs>
          <w:tab w:val="num" w:pos="5760"/>
        </w:tabs>
        <w:ind w:left="5760" w:hanging="360"/>
      </w:pPr>
      <w:rPr>
        <w:rFonts w:ascii="Times New Roman" w:hAnsi="Times New Roman" w:hint="default"/>
      </w:rPr>
    </w:lvl>
    <w:lvl w:ilvl="8" w:tplc="51EE6AC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C811F3A"/>
    <w:multiLevelType w:val="hybridMultilevel"/>
    <w:tmpl w:val="74CC2514"/>
    <w:lvl w:ilvl="0" w:tplc="73B69472">
      <w:start w:val="1"/>
      <w:numFmt w:val="bullet"/>
      <w:lvlText w:val="-"/>
      <w:lvlJc w:val="left"/>
      <w:pPr>
        <w:tabs>
          <w:tab w:val="num" w:pos="360"/>
        </w:tabs>
        <w:ind w:left="360" w:hanging="360"/>
      </w:pPr>
      <w:rPr>
        <w:rFonts w:ascii="Times New Roman" w:hAnsi="Times New Roman"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35DE3BBC"/>
    <w:multiLevelType w:val="hybridMultilevel"/>
    <w:tmpl w:val="9DFEBA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6936B28"/>
    <w:multiLevelType w:val="hybridMultilevel"/>
    <w:tmpl w:val="7B9EEC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D087F1F"/>
    <w:multiLevelType w:val="hybridMultilevel"/>
    <w:tmpl w:val="018CD1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4FB04DF7"/>
    <w:multiLevelType w:val="multilevel"/>
    <w:tmpl w:val="84BEFBE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0D71CF8"/>
    <w:multiLevelType w:val="hybridMultilevel"/>
    <w:tmpl w:val="F1225038"/>
    <w:lvl w:ilvl="0" w:tplc="0405000D">
      <w:start w:val="1"/>
      <w:numFmt w:val="bullet"/>
      <w:lvlText w:val=""/>
      <w:lvlJc w:val="left"/>
      <w:pPr>
        <w:tabs>
          <w:tab w:val="num" w:pos="360"/>
        </w:tabs>
        <w:ind w:left="360" w:hanging="360"/>
      </w:pPr>
      <w:rPr>
        <w:rFonts w:ascii="Wingdings" w:hAnsi="Wingdings" w:hint="default"/>
      </w:rPr>
    </w:lvl>
    <w:lvl w:ilvl="1" w:tplc="73B69472">
      <w:start w:val="1"/>
      <w:numFmt w:val="bullet"/>
      <w:lvlText w:val="-"/>
      <w:lvlJc w:val="left"/>
      <w:pPr>
        <w:tabs>
          <w:tab w:val="num" w:pos="1080"/>
        </w:tabs>
        <w:ind w:left="1080" w:hanging="360"/>
      </w:pPr>
      <w:rPr>
        <w:rFonts w:ascii="Times New Roman" w:hAnsi="Times New Roman" w:hint="default"/>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nsid w:val="51A61123"/>
    <w:multiLevelType w:val="hybridMultilevel"/>
    <w:tmpl w:val="425E8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52E675BD"/>
    <w:multiLevelType w:val="hybridMultilevel"/>
    <w:tmpl w:val="018CD1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nsid w:val="5FDE00A6"/>
    <w:multiLevelType w:val="hybridMultilevel"/>
    <w:tmpl w:val="619625A6"/>
    <w:lvl w:ilvl="0" w:tplc="E9FC1D10">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5">
    <w:nsid w:val="60A310F6"/>
    <w:multiLevelType w:val="hybridMultilevel"/>
    <w:tmpl w:val="E18A1E2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nsid w:val="60BB27AB"/>
    <w:multiLevelType w:val="hybridMultilevel"/>
    <w:tmpl w:val="018CD1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nsid w:val="6107173C"/>
    <w:multiLevelType w:val="hybridMultilevel"/>
    <w:tmpl w:val="018CD1C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nsid w:val="62C6032D"/>
    <w:multiLevelType w:val="hybridMultilevel"/>
    <w:tmpl w:val="B91879D2"/>
    <w:lvl w:ilvl="0" w:tplc="142EA47C">
      <w:start w:val="1"/>
      <w:numFmt w:val="lowerLetter"/>
      <w:lvlText w:val="%1)"/>
      <w:lvlJc w:val="left"/>
      <w:pPr>
        <w:tabs>
          <w:tab w:val="num" w:pos="1414"/>
        </w:tabs>
        <w:ind w:left="1414" w:hanging="705"/>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9">
    <w:nsid w:val="658741D8"/>
    <w:multiLevelType w:val="hybridMultilevel"/>
    <w:tmpl w:val="7D98B942"/>
    <w:lvl w:ilvl="0" w:tplc="73B69472">
      <w:start w:val="1"/>
      <w:numFmt w:val="bullet"/>
      <w:lvlText w:val="-"/>
      <w:lvlJc w:val="left"/>
      <w:pPr>
        <w:tabs>
          <w:tab w:val="num" w:pos="360"/>
        </w:tabs>
        <w:ind w:left="360" w:hanging="360"/>
      </w:pPr>
      <w:rPr>
        <w:rFonts w:ascii="Times New Roman" w:hAnsi="Times New Roman"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nsid w:val="7058320B"/>
    <w:multiLevelType w:val="hybridMultilevel"/>
    <w:tmpl w:val="1E0C05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1370A15"/>
    <w:multiLevelType w:val="hybridMultilevel"/>
    <w:tmpl w:val="F01AA542"/>
    <w:lvl w:ilvl="0" w:tplc="77AC5D34">
      <w:start w:val="1"/>
      <w:numFmt w:val="bullet"/>
      <w:lvlText w:val=""/>
      <w:lvlJc w:val="left"/>
      <w:pPr>
        <w:tabs>
          <w:tab w:val="num" w:pos="283"/>
        </w:tabs>
        <w:ind w:left="283" w:hanging="283"/>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77AC5D34">
      <w:start w:val="1"/>
      <w:numFmt w:val="bullet"/>
      <w:lvlText w:val=""/>
      <w:lvlJc w:val="left"/>
      <w:pPr>
        <w:tabs>
          <w:tab w:val="num" w:pos="2083"/>
        </w:tabs>
        <w:ind w:left="2083" w:hanging="283"/>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F675839"/>
    <w:multiLevelType w:val="multilevel"/>
    <w:tmpl w:val="A64AD9B6"/>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FB10EFE"/>
    <w:multiLevelType w:val="hybridMultilevel"/>
    <w:tmpl w:val="922297A6"/>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2"/>
  </w:num>
  <w:num w:numId="3">
    <w:abstractNumId w:val="14"/>
  </w:num>
  <w:num w:numId="4">
    <w:abstractNumId w:val="17"/>
  </w:num>
  <w:num w:numId="5">
    <w:abstractNumId w:val="10"/>
  </w:num>
  <w:num w:numId="6">
    <w:abstractNumId w:val="18"/>
  </w:num>
  <w:num w:numId="7">
    <w:abstractNumId w:val="33"/>
  </w:num>
  <w:num w:numId="8">
    <w:abstractNumId w:val="25"/>
  </w:num>
  <w:num w:numId="9">
    <w:abstractNumId w:val="30"/>
  </w:num>
  <w:num w:numId="10">
    <w:abstractNumId w:val="21"/>
  </w:num>
  <w:num w:numId="11">
    <w:abstractNumId w:val="26"/>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1"/>
  </w:num>
  <w:num w:numId="23">
    <w:abstractNumId w:val="24"/>
  </w:num>
  <w:num w:numId="24">
    <w:abstractNumId w:val="16"/>
  </w:num>
  <w:num w:numId="25">
    <w:abstractNumId w:val="28"/>
  </w:num>
  <w:num w:numId="26">
    <w:abstractNumId w:val="12"/>
  </w:num>
  <w:num w:numId="27">
    <w:abstractNumId w:val="29"/>
  </w:num>
  <w:num w:numId="28">
    <w:abstractNumId w:val="27"/>
  </w:num>
  <w:num w:numId="29">
    <w:abstractNumId w:val="19"/>
  </w:num>
  <w:num w:numId="30">
    <w:abstractNumId w:val="20"/>
  </w:num>
  <w:num w:numId="31">
    <w:abstractNumId w:val="31"/>
  </w:num>
  <w:num w:numId="32">
    <w:abstractNumId w:val="23"/>
  </w:num>
  <w:num w:numId="33">
    <w:abstractNumId w:val="13"/>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04E85"/>
    <w:rsid w:val="00003E21"/>
    <w:rsid w:val="00013D2F"/>
    <w:rsid w:val="00015BC2"/>
    <w:rsid w:val="00060D72"/>
    <w:rsid w:val="00063866"/>
    <w:rsid w:val="0007076B"/>
    <w:rsid w:val="00090A24"/>
    <w:rsid w:val="000B4FF8"/>
    <w:rsid w:val="000B5271"/>
    <w:rsid w:val="000B6287"/>
    <w:rsid w:val="000B7374"/>
    <w:rsid w:val="000C4023"/>
    <w:rsid w:val="000D05EC"/>
    <w:rsid w:val="000D5A48"/>
    <w:rsid w:val="000E1113"/>
    <w:rsid w:val="000E3934"/>
    <w:rsid w:val="000E4215"/>
    <w:rsid w:val="000E5255"/>
    <w:rsid w:val="00106936"/>
    <w:rsid w:val="00110F5C"/>
    <w:rsid w:val="00116111"/>
    <w:rsid w:val="0011796F"/>
    <w:rsid w:val="001227F8"/>
    <w:rsid w:val="0012335E"/>
    <w:rsid w:val="001338BB"/>
    <w:rsid w:val="001379D1"/>
    <w:rsid w:val="00146912"/>
    <w:rsid w:val="001544E5"/>
    <w:rsid w:val="0016183A"/>
    <w:rsid w:val="001774E2"/>
    <w:rsid w:val="00181580"/>
    <w:rsid w:val="001819CF"/>
    <w:rsid w:val="001A2B03"/>
    <w:rsid w:val="001B74EA"/>
    <w:rsid w:val="001C6850"/>
    <w:rsid w:val="001D14FB"/>
    <w:rsid w:val="001E11DF"/>
    <w:rsid w:val="00203A13"/>
    <w:rsid w:val="00204B52"/>
    <w:rsid w:val="00212885"/>
    <w:rsid w:val="002223EF"/>
    <w:rsid w:val="00232A41"/>
    <w:rsid w:val="00242516"/>
    <w:rsid w:val="00251576"/>
    <w:rsid w:val="00261BA9"/>
    <w:rsid w:val="002704CA"/>
    <w:rsid w:val="00274D53"/>
    <w:rsid w:val="00276F04"/>
    <w:rsid w:val="002902A9"/>
    <w:rsid w:val="002A2E2E"/>
    <w:rsid w:val="002B2627"/>
    <w:rsid w:val="002C207C"/>
    <w:rsid w:val="002D672D"/>
    <w:rsid w:val="002E696B"/>
    <w:rsid w:val="00322E3A"/>
    <w:rsid w:val="00326706"/>
    <w:rsid w:val="003351ED"/>
    <w:rsid w:val="00337C91"/>
    <w:rsid w:val="003410D5"/>
    <w:rsid w:val="00353E89"/>
    <w:rsid w:val="003575F3"/>
    <w:rsid w:val="003A17A3"/>
    <w:rsid w:val="003C111E"/>
    <w:rsid w:val="003C3A04"/>
    <w:rsid w:val="003D19EC"/>
    <w:rsid w:val="003F0643"/>
    <w:rsid w:val="003F6637"/>
    <w:rsid w:val="004071A3"/>
    <w:rsid w:val="004127C2"/>
    <w:rsid w:val="00413DCC"/>
    <w:rsid w:val="00416894"/>
    <w:rsid w:val="00416B51"/>
    <w:rsid w:val="00421526"/>
    <w:rsid w:val="00427B34"/>
    <w:rsid w:val="00447734"/>
    <w:rsid w:val="00460F86"/>
    <w:rsid w:val="00461196"/>
    <w:rsid w:val="00472F11"/>
    <w:rsid w:val="00481D5C"/>
    <w:rsid w:val="00485E40"/>
    <w:rsid w:val="0049540F"/>
    <w:rsid w:val="004A4082"/>
    <w:rsid w:val="004A521E"/>
    <w:rsid w:val="004B0A2B"/>
    <w:rsid w:val="004C0AE4"/>
    <w:rsid w:val="004C1795"/>
    <w:rsid w:val="004D05DB"/>
    <w:rsid w:val="004F1D5B"/>
    <w:rsid w:val="004F5927"/>
    <w:rsid w:val="0050156E"/>
    <w:rsid w:val="00505679"/>
    <w:rsid w:val="0051519E"/>
    <w:rsid w:val="00515787"/>
    <w:rsid w:val="00542504"/>
    <w:rsid w:val="00545F76"/>
    <w:rsid w:val="00555834"/>
    <w:rsid w:val="005635E5"/>
    <w:rsid w:val="005729D2"/>
    <w:rsid w:val="005A5A15"/>
    <w:rsid w:val="005A728F"/>
    <w:rsid w:val="005B049A"/>
    <w:rsid w:val="005B51B7"/>
    <w:rsid w:val="005D1851"/>
    <w:rsid w:val="005F0DB9"/>
    <w:rsid w:val="006009E7"/>
    <w:rsid w:val="00603C66"/>
    <w:rsid w:val="00615E41"/>
    <w:rsid w:val="0062145E"/>
    <w:rsid w:val="00623550"/>
    <w:rsid w:val="00634FBB"/>
    <w:rsid w:val="00640DC4"/>
    <w:rsid w:val="00643554"/>
    <w:rsid w:val="00661C52"/>
    <w:rsid w:val="0066530E"/>
    <w:rsid w:val="00672A43"/>
    <w:rsid w:val="00674B45"/>
    <w:rsid w:val="00693120"/>
    <w:rsid w:val="006B4770"/>
    <w:rsid w:val="006C1231"/>
    <w:rsid w:val="006D331F"/>
    <w:rsid w:val="007017A6"/>
    <w:rsid w:val="00705F4E"/>
    <w:rsid w:val="00757842"/>
    <w:rsid w:val="00765A5E"/>
    <w:rsid w:val="00767171"/>
    <w:rsid w:val="00772419"/>
    <w:rsid w:val="00776F3A"/>
    <w:rsid w:val="00777C25"/>
    <w:rsid w:val="00783AC3"/>
    <w:rsid w:val="00786A19"/>
    <w:rsid w:val="00792FC0"/>
    <w:rsid w:val="007B67CD"/>
    <w:rsid w:val="007D7A4F"/>
    <w:rsid w:val="007E0962"/>
    <w:rsid w:val="007E0A6E"/>
    <w:rsid w:val="007E3712"/>
    <w:rsid w:val="007E6D41"/>
    <w:rsid w:val="00804AE0"/>
    <w:rsid w:val="00823350"/>
    <w:rsid w:val="008250E0"/>
    <w:rsid w:val="00837ABF"/>
    <w:rsid w:val="008714A8"/>
    <w:rsid w:val="00875431"/>
    <w:rsid w:val="00875B9E"/>
    <w:rsid w:val="0088046C"/>
    <w:rsid w:val="00886D16"/>
    <w:rsid w:val="0089283B"/>
    <w:rsid w:val="008A7823"/>
    <w:rsid w:val="008C0606"/>
    <w:rsid w:val="008C45B4"/>
    <w:rsid w:val="008D5BFE"/>
    <w:rsid w:val="008D5FF4"/>
    <w:rsid w:val="008D7955"/>
    <w:rsid w:val="008E0B43"/>
    <w:rsid w:val="008E5CEB"/>
    <w:rsid w:val="008F6AB1"/>
    <w:rsid w:val="008F73D4"/>
    <w:rsid w:val="0092025D"/>
    <w:rsid w:val="00921145"/>
    <w:rsid w:val="0092692C"/>
    <w:rsid w:val="0092699A"/>
    <w:rsid w:val="00930388"/>
    <w:rsid w:val="009402C6"/>
    <w:rsid w:val="009456BF"/>
    <w:rsid w:val="009538C9"/>
    <w:rsid w:val="00954187"/>
    <w:rsid w:val="00954EF5"/>
    <w:rsid w:val="00960D8C"/>
    <w:rsid w:val="009635E8"/>
    <w:rsid w:val="0096482B"/>
    <w:rsid w:val="0096792B"/>
    <w:rsid w:val="00982C84"/>
    <w:rsid w:val="0099655F"/>
    <w:rsid w:val="009A5EF2"/>
    <w:rsid w:val="009A6E39"/>
    <w:rsid w:val="009B1449"/>
    <w:rsid w:val="009C05D7"/>
    <w:rsid w:val="009C44FA"/>
    <w:rsid w:val="009C5A37"/>
    <w:rsid w:val="009E47D4"/>
    <w:rsid w:val="00A04F7F"/>
    <w:rsid w:val="00A225DE"/>
    <w:rsid w:val="00A2673B"/>
    <w:rsid w:val="00A36C56"/>
    <w:rsid w:val="00A5267C"/>
    <w:rsid w:val="00A553EF"/>
    <w:rsid w:val="00A607B3"/>
    <w:rsid w:val="00A744A5"/>
    <w:rsid w:val="00A74891"/>
    <w:rsid w:val="00AB3EB7"/>
    <w:rsid w:val="00AD3685"/>
    <w:rsid w:val="00AD4BC9"/>
    <w:rsid w:val="00AE5703"/>
    <w:rsid w:val="00AE6610"/>
    <w:rsid w:val="00B02876"/>
    <w:rsid w:val="00B04FCE"/>
    <w:rsid w:val="00B1783B"/>
    <w:rsid w:val="00B537DC"/>
    <w:rsid w:val="00B53B47"/>
    <w:rsid w:val="00B55C68"/>
    <w:rsid w:val="00B55C94"/>
    <w:rsid w:val="00B72ACC"/>
    <w:rsid w:val="00B86AF4"/>
    <w:rsid w:val="00B975B8"/>
    <w:rsid w:val="00BA08F7"/>
    <w:rsid w:val="00BC70C1"/>
    <w:rsid w:val="00BD774C"/>
    <w:rsid w:val="00BE0DEA"/>
    <w:rsid w:val="00BF178B"/>
    <w:rsid w:val="00C01A3E"/>
    <w:rsid w:val="00C0438F"/>
    <w:rsid w:val="00C122BF"/>
    <w:rsid w:val="00C27C59"/>
    <w:rsid w:val="00C47080"/>
    <w:rsid w:val="00C652F5"/>
    <w:rsid w:val="00C95664"/>
    <w:rsid w:val="00CA3895"/>
    <w:rsid w:val="00CA42A4"/>
    <w:rsid w:val="00CC6066"/>
    <w:rsid w:val="00CD20CF"/>
    <w:rsid w:val="00CD5AC7"/>
    <w:rsid w:val="00CD7CF7"/>
    <w:rsid w:val="00CE3CDD"/>
    <w:rsid w:val="00CE52F1"/>
    <w:rsid w:val="00CF6C07"/>
    <w:rsid w:val="00D04E85"/>
    <w:rsid w:val="00D05ADF"/>
    <w:rsid w:val="00D1562C"/>
    <w:rsid w:val="00D15A45"/>
    <w:rsid w:val="00D24B43"/>
    <w:rsid w:val="00D408A3"/>
    <w:rsid w:val="00D54171"/>
    <w:rsid w:val="00D631B5"/>
    <w:rsid w:val="00D65177"/>
    <w:rsid w:val="00D653B7"/>
    <w:rsid w:val="00D65A29"/>
    <w:rsid w:val="00D6767E"/>
    <w:rsid w:val="00D90284"/>
    <w:rsid w:val="00D9620C"/>
    <w:rsid w:val="00DB11C6"/>
    <w:rsid w:val="00DB77BA"/>
    <w:rsid w:val="00DC7CA5"/>
    <w:rsid w:val="00DD12AD"/>
    <w:rsid w:val="00DE1298"/>
    <w:rsid w:val="00DE185D"/>
    <w:rsid w:val="00DE6BC2"/>
    <w:rsid w:val="00DE6D9F"/>
    <w:rsid w:val="00DE6E9E"/>
    <w:rsid w:val="00DF04BD"/>
    <w:rsid w:val="00DF4C86"/>
    <w:rsid w:val="00DF503A"/>
    <w:rsid w:val="00E007C3"/>
    <w:rsid w:val="00E028CD"/>
    <w:rsid w:val="00E07C50"/>
    <w:rsid w:val="00E10A32"/>
    <w:rsid w:val="00E10D76"/>
    <w:rsid w:val="00E24FC8"/>
    <w:rsid w:val="00E34EA5"/>
    <w:rsid w:val="00E50117"/>
    <w:rsid w:val="00E52D9A"/>
    <w:rsid w:val="00E53E80"/>
    <w:rsid w:val="00E55111"/>
    <w:rsid w:val="00E64D6C"/>
    <w:rsid w:val="00E70264"/>
    <w:rsid w:val="00E856DF"/>
    <w:rsid w:val="00E90B2B"/>
    <w:rsid w:val="00E92C17"/>
    <w:rsid w:val="00E93846"/>
    <w:rsid w:val="00EA3191"/>
    <w:rsid w:val="00EB798D"/>
    <w:rsid w:val="00ED750D"/>
    <w:rsid w:val="00EE1B3C"/>
    <w:rsid w:val="00EE34EF"/>
    <w:rsid w:val="00EE4196"/>
    <w:rsid w:val="00EF5123"/>
    <w:rsid w:val="00F00B20"/>
    <w:rsid w:val="00F02958"/>
    <w:rsid w:val="00F04E5B"/>
    <w:rsid w:val="00F10DB7"/>
    <w:rsid w:val="00F23F97"/>
    <w:rsid w:val="00F25591"/>
    <w:rsid w:val="00F44837"/>
    <w:rsid w:val="00F50FD8"/>
    <w:rsid w:val="00F829A8"/>
    <w:rsid w:val="00F93850"/>
    <w:rsid w:val="00FA4B9A"/>
    <w:rsid w:val="00FA6AE8"/>
    <w:rsid w:val="00FC3E53"/>
    <w:rsid w:val="00FC79AB"/>
    <w:rsid w:val="00FD0E47"/>
    <w:rsid w:val="00FD1600"/>
    <w:rsid w:val="00FE341A"/>
    <w:rsid w:val="00FE3DA4"/>
    <w:rsid w:val="00FF11F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4E85"/>
    <w:rPr>
      <w:rFonts w:ascii="Times New Roman" w:eastAsia="Times New Roman" w:hAnsi="Times New Roman"/>
      <w:sz w:val="24"/>
      <w:szCs w:val="24"/>
    </w:rPr>
  </w:style>
  <w:style w:type="paragraph" w:styleId="Nadpis1">
    <w:name w:val="heading 1"/>
    <w:basedOn w:val="Normln"/>
    <w:next w:val="Normln"/>
    <w:link w:val="Nadpis1Char"/>
    <w:qFormat/>
    <w:rsid w:val="00EE34EF"/>
    <w:pPr>
      <w:keepNext/>
      <w:spacing w:before="120" w:after="120"/>
      <w:outlineLvl w:val="0"/>
    </w:pPr>
    <w:rPr>
      <w:rFonts w:cs="Arial"/>
      <w:b/>
      <w:bCs/>
      <w:u w:val="double"/>
    </w:rPr>
  </w:style>
  <w:style w:type="paragraph" w:styleId="Nadpis2">
    <w:name w:val="heading 2"/>
    <w:basedOn w:val="Normln"/>
    <w:next w:val="Normln"/>
    <w:link w:val="Nadpis2Char"/>
    <w:uiPriority w:val="9"/>
    <w:qFormat/>
    <w:rsid w:val="001D14F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B55C94"/>
    <w:pPr>
      <w:keepNext/>
      <w:spacing w:before="240" w:after="60"/>
      <w:outlineLvl w:val="2"/>
    </w:pPr>
    <w:rPr>
      <w:rFonts w:ascii="Cambria"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E34EF"/>
    <w:rPr>
      <w:rFonts w:ascii="Tahoma" w:eastAsia="Calibri" w:hAnsi="Tahoma" w:cs="Arial"/>
      <w:b/>
      <w:bCs/>
      <w:u w:val="double"/>
    </w:rPr>
  </w:style>
  <w:style w:type="paragraph" w:styleId="FormtovanvHTML">
    <w:name w:val="HTML Preformatted"/>
    <w:basedOn w:val="Normln"/>
    <w:link w:val="FormtovanvHTMLChar"/>
    <w:rsid w:val="004D0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4D05DB"/>
    <w:rPr>
      <w:rFonts w:ascii="Courier New" w:eastAsia="Times New Roman" w:hAnsi="Courier New" w:cs="Courier New"/>
      <w:sz w:val="20"/>
      <w:szCs w:val="20"/>
      <w:lang w:eastAsia="cs-CZ"/>
    </w:rPr>
  </w:style>
  <w:style w:type="character" w:customStyle="1" w:styleId="Nadpis3Char">
    <w:name w:val="Nadpis 3 Char"/>
    <w:basedOn w:val="Standardnpsmoodstavce"/>
    <w:link w:val="Nadpis3"/>
    <w:uiPriority w:val="9"/>
    <w:semiHidden/>
    <w:rsid w:val="00B55C94"/>
    <w:rPr>
      <w:rFonts w:ascii="Cambria" w:eastAsia="Times New Roman" w:hAnsi="Cambria" w:cs="Times New Roman"/>
      <w:b/>
      <w:bCs/>
      <w:sz w:val="26"/>
      <w:szCs w:val="26"/>
    </w:rPr>
  </w:style>
  <w:style w:type="paragraph" w:styleId="Zkladntext">
    <w:name w:val="Body Text"/>
    <w:basedOn w:val="Normln"/>
    <w:link w:val="ZkladntextChar"/>
    <w:rsid w:val="00B55C94"/>
    <w:rPr>
      <w:szCs w:val="20"/>
    </w:rPr>
  </w:style>
  <w:style w:type="character" w:customStyle="1" w:styleId="ZkladntextChar">
    <w:name w:val="Základní text Char"/>
    <w:basedOn w:val="Standardnpsmoodstavce"/>
    <w:link w:val="Zkladntext"/>
    <w:rsid w:val="00B55C94"/>
    <w:rPr>
      <w:rFonts w:ascii="Times New Roman" w:eastAsia="Times New Roman" w:hAnsi="Times New Roman"/>
      <w:sz w:val="24"/>
    </w:rPr>
  </w:style>
  <w:style w:type="character" w:customStyle="1" w:styleId="Nadpis2Char">
    <w:name w:val="Nadpis 2 Char"/>
    <w:basedOn w:val="Standardnpsmoodstavce"/>
    <w:link w:val="Nadpis2"/>
    <w:uiPriority w:val="9"/>
    <w:rsid w:val="001D14FB"/>
    <w:rPr>
      <w:rFonts w:ascii="Cambria" w:eastAsia="Times New Roman" w:hAnsi="Cambria" w:cs="Times New Roman"/>
      <w:b/>
      <w:bCs/>
      <w:i/>
      <w:iCs/>
      <w:sz w:val="28"/>
      <w:szCs w:val="28"/>
    </w:rPr>
  </w:style>
  <w:style w:type="paragraph" w:styleId="Nzev">
    <w:name w:val="Title"/>
    <w:basedOn w:val="Normln"/>
    <w:next w:val="Podtitul"/>
    <w:link w:val="NzevChar"/>
    <w:qFormat/>
    <w:rsid w:val="00674B45"/>
    <w:pPr>
      <w:suppressAutoHyphens/>
      <w:spacing w:line="100" w:lineRule="atLeast"/>
      <w:jc w:val="center"/>
    </w:pPr>
    <w:rPr>
      <w:sz w:val="32"/>
      <w:lang w:eastAsia="ar-SA"/>
    </w:rPr>
  </w:style>
  <w:style w:type="character" w:customStyle="1" w:styleId="NzevChar">
    <w:name w:val="Název Char"/>
    <w:basedOn w:val="Standardnpsmoodstavce"/>
    <w:link w:val="Nzev"/>
    <w:rsid w:val="00674B45"/>
    <w:rPr>
      <w:rFonts w:ascii="Times New Roman" w:eastAsia="Times New Roman" w:hAnsi="Times New Roman"/>
      <w:sz w:val="32"/>
      <w:szCs w:val="24"/>
      <w:lang w:eastAsia="ar-SA"/>
    </w:rPr>
  </w:style>
  <w:style w:type="character" w:styleId="Hypertextovodkaz">
    <w:name w:val="Hyperlink"/>
    <w:basedOn w:val="Standardnpsmoodstavce"/>
    <w:uiPriority w:val="99"/>
    <w:rsid w:val="00674B45"/>
    <w:rPr>
      <w:color w:val="0000FF"/>
      <w:u w:val="single"/>
    </w:rPr>
  </w:style>
  <w:style w:type="paragraph" w:styleId="Podtitul">
    <w:name w:val="Subtitle"/>
    <w:basedOn w:val="Normln"/>
    <w:next w:val="Normln"/>
    <w:link w:val="PodtitulChar"/>
    <w:uiPriority w:val="11"/>
    <w:qFormat/>
    <w:rsid w:val="00674B45"/>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674B45"/>
    <w:rPr>
      <w:rFonts w:ascii="Cambria" w:eastAsia="Times New Roman" w:hAnsi="Cambria" w:cs="Times New Roman"/>
      <w:sz w:val="24"/>
      <w:szCs w:val="24"/>
    </w:rPr>
  </w:style>
  <w:style w:type="paragraph" w:styleId="Zhlav">
    <w:name w:val="header"/>
    <w:basedOn w:val="Normln"/>
    <w:link w:val="ZhlavChar"/>
    <w:uiPriority w:val="99"/>
    <w:semiHidden/>
    <w:unhideWhenUsed/>
    <w:rsid w:val="00505679"/>
    <w:pPr>
      <w:tabs>
        <w:tab w:val="center" w:pos="4536"/>
        <w:tab w:val="right" w:pos="9072"/>
      </w:tabs>
    </w:pPr>
  </w:style>
  <w:style w:type="character" w:customStyle="1" w:styleId="ZhlavChar">
    <w:name w:val="Záhlaví Char"/>
    <w:basedOn w:val="Standardnpsmoodstavce"/>
    <w:link w:val="Zhlav"/>
    <w:uiPriority w:val="99"/>
    <w:semiHidden/>
    <w:rsid w:val="00505679"/>
    <w:rPr>
      <w:rFonts w:ascii="Times New Roman" w:eastAsia="Times New Roman" w:hAnsi="Times New Roman"/>
      <w:sz w:val="24"/>
      <w:szCs w:val="24"/>
    </w:rPr>
  </w:style>
  <w:style w:type="paragraph" w:styleId="Zpat">
    <w:name w:val="footer"/>
    <w:basedOn w:val="Normln"/>
    <w:link w:val="ZpatChar"/>
    <w:uiPriority w:val="99"/>
    <w:unhideWhenUsed/>
    <w:rsid w:val="00505679"/>
    <w:pPr>
      <w:tabs>
        <w:tab w:val="center" w:pos="4536"/>
        <w:tab w:val="right" w:pos="9072"/>
      </w:tabs>
    </w:pPr>
  </w:style>
  <w:style w:type="character" w:customStyle="1" w:styleId="ZpatChar">
    <w:name w:val="Zápatí Char"/>
    <w:basedOn w:val="Standardnpsmoodstavce"/>
    <w:link w:val="Zpat"/>
    <w:uiPriority w:val="99"/>
    <w:rsid w:val="00505679"/>
    <w:rPr>
      <w:rFonts w:ascii="Times New Roman" w:eastAsia="Times New Roman" w:hAnsi="Times New Roman"/>
      <w:sz w:val="24"/>
      <w:szCs w:val="24"/>
    </w:rPr>
  </w:style>
  <w:style w:type="paragraph" w:styleId="Textbubliny">
    <w:name w:val="Balloon Text"/>
    <w:basedOn w:val="Normln"/>
    <w:link w:val="TextbublinyChar"/>
    <w:uiPriority w:val="99"/>
    <w:semiHidden/>
    <w:unhideWhenUsed/>
    <w:rsid w:val="00505679"/>
    <w:rPr>
      <w:rFonts w:ascii="Tahoma" w:hAnsi="Tahoma" w:cs="Tahoma"/>
      <w:sz w:val="16"/>
      <w:szCs w:val="16"/>
    </w:rPr>
  </w:style>
  <w:style w:type="character" w:customStyle="1" w:styleId="TextbublinyChar">
    <w:name w:val="Text bubliny Char"/>
    <w:basedOn w:val="Standardnpsmoodstavce"/>
    <w:link w:val="Textbubliny"/>
    <w:uiPriority w:val="99"/>
    <w:semiHidden/>
    <w:rsid w:val="00505679"/>
    <w:rPr>
      <w:rFonts w:ascii="Tahoma" w:eastAsia="Times New Roman" w:hAnsi="Tahoma" w:cs="Tahoma"/>
      <w:sz w:val="16"/>
      <w:szCs w:val="16"/>
    </w:rPr>
  </w:style>
  <w:style w:type="paragraph" w:styleId="Textpoznpodarou">
    <w:name w:val="footnote text"/>
    <w:basedOn w:val="Normln"/>
    <w:link w:val="TextpoznpodarouChar"/>
    <w:uiPriority w:val="99"/>
    <w:semiHidden/>
    <w:unhideWhenUsed/>
    <w:rsid w:val="00251576"/>
    <w:rPr>
      <w:sz w:val="20"/>
      <w:szCs w:val="20"/>
    </w:rPr>
  </w:style>
  <w:style w:type="character" w:customStyle="1" w:styleId="TextpoznpodarouChar">
    <w:name w:val="Text pozn. pod čarou Char"/>
    <w:basedOn w:val="Standardnpsmoodstavce"/>
    <w:link w:val="Textpoznpodarou"/>
    <w:uiPriority w:val="99"/>
    <w:semiHidden/>
    <w:rsid w:val="00251576"/>
    <w:rPr>
      <w:rFonts w:ascii="Times New Roman" w:eastAsia="Times New Roman" w:hAnsi="Times New Roman"/>
    </w:rPr>
  </w:style>
  <w:style w:type="character" w:styleId="Znakapoznpodarou">
    <w:name w:val="footnote reference"/>
    <w:basedOn w:val="Standardnpsmoodstavce"/>
    <w:uiPriority w:val="99"/>
    <w:semiHidden/>
    <w:unhideWhenUsed/>
    <w:rsid w:val="00251576"/>
    <w:rPr>
      <w:vertAlign w:val="superscript"/>
    </w:rPr>
  </w:style>
  <w:style w:type="table" w:styleId="Mkatabulky">
    <w:name w:val="Table Grid"/>
    <w:basedOn w:val="Normlntabulka"/>
    <w:uiPriority w:val="59"/>
    <w:rsid w:val="00E938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ulek">
    <w:name w:val="caption"/>
    <w:basedOn w:val="Normln"/>
    <w:next w:val="Normln"/>
    <w:uiPriority w:val="35"/>
    <w:qFormat/>
    <w:rsid w:val="00E53E80"/>
    <w:rPr>
      <w:b/>
      <w:bCs/>
      <w:sz w:val="20"/>
      <w:szCs w:val="20"/>
    </w:rPr>
  </w:style>
  <w:style w:type="paragraph" w:styleId="Textvysvtlivek">
    <w:name w:val="endnote text"/>
    <w:basedOn w:val="Normln"/>
    <w:link w:val="TextvysvtlivekChar"/>
    <w:uiPriority w:val="99"/>
    <w:semiHidden/>
    <w:unhideWhenUsed/>
    <w:rsid w:val="00D90284"/>
    <w:rPr>
      <w:sz w:val="20"/>
      <w:szCs w:val="20"/>
    </w:rPr>
  </w:style>
  <w:style w:type="character" w:customStyle="1" w:styleId="TextvysvtlivekChar">
    <w:name w:val="Text vysvětlivek Char"/>
    <w:basedOn w:val="Standardnpsmoodstavce"/>
    <w:link w:val="Textvysvtlivek"/>
    <w:uiPriority w:val="99"/>
    <w:semiHidden/>
    <w:rsid w:val="00D90284"/>
    <w:rPr>
      <w:rFonts w:ascii="Times New Roman" w:eastAsia="Times New Roman" w:hAnsi="Times New Roman"/>
    </w:rPr>
  </w:style>
  <w:style w:type="character" w:styleId="Odkaznavysvtlivky">
    <w:name w:val="endnote reference"/>
    <w:basedOn w:val="Standardnpsmoodstavce"/>
    <w:uiPriority w:val="99"/>
    <w:semiHidden/>
    <w:unhideWhenUsed/>
    <w:rsid w:val="00D90284"/>
    <w:rPr>
      <w:vertAlign w:val="superscript"/>
    </w:rPr>
  </w:style>
  <w:style w:type="paragraph" w:styleId="Obsah2">
    <w:name w:val="toc 2"/>
    <w:basedOn w:val="Normln"/>
    <w:next w:val="Normln"/>
    <w:autoRedefine/>
    <w:uiPriority w:val="39"/>
    <w:unhideWhenUsed/>
    <w:rsid w:val="00DF4C86"/>
    <w:pPr>
      <w:ind w:left="240"/>
    </w:pPr>
  </w:style>
  <w:style w:type="paragraph" w:styleId="Obsah1">
    <w:name w:val="toc 1"/>
    <w:basedOn w:val="Normln"/>
    <w:next w:val="Normln"/>
    <w:autoRedefine/>
    <w:uiPriority w:val="39"/>
    <w:unhideWhenUsed/>
    <w:rsid w:val="00DF4C86"/>
  </w:style>
  <w:style w:type="paragraph" w:styleId="Normlnweb">
    <w:name w:val="Normal (Web)"/>
    <w:basedOn w:val="Normln"/>
    <w:uiPriority w:val="99"/>
    <w:semiHidden/>
    <w:unhideWhenUsed/>
    <w:rsid w:val="009402C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3840356">
      <w:bodyDiv w:val="1"/>
      <w:marLeft w:val="0"/>
      <w:marRight w:val="0"/>
      <w:marTop w:val="0"/>
      <w:marBottom w:val="0"/>
      <w:divBdr>
        <w:top w:val="none" w:sz="0" w:space="0" w:color="auto"/>
        <w:left w:val="none" w:sz="0" w:space="0" w:color="auto"/>
        <w:bottom w:val="none" w:sz="0" w:space="0" w:color="auto"/>
        <w:right w:val="none" w:sz="0" w:space="0" w:color="auto"/>
      </w:divBdr>
      <w:divsChild>
        <w:div w:id="1038820491">
          <w:marLeft w:val="547"/>
          <w:marRight w:val="0"/>
          <w:marTop w:val="134"/>
          <w:marBottom w:val="0"/>
          <w:divBdr>
            <w:top w:val="none" w:sz="0" w:space="0" w:color="auto"/>
            <w:left w:val="none" w:sz="0" w:space="0" w:color="auto"/>
            <w:bottom w:val="none" w:sz="0" w:space="0" w:color="auto"/>
            <w:right w:val="none" w:sz="0" w:space="0" w:color="auto"/>
          </w:divBdr>
        </w:div>
      </w:divsChild>
    </w:div>
    <w:div w:id="1219709820">
      <w:bodyDiv w:val="1"/>
      <w:marLeft w:val="0"/>
      <w:marRight w:val="0"/>
      <w:marTop w:val="0"/>
      <w:marBottom w:val="0"/>
      <w:divBdr>
        <w:top w:val="none" w:sz="0" w:space="0" w:color="auto"/>
        <w:left w:val="none" w:sz="0" w:space="0" w:color="auto"/>
        <w:bottom w:val="none" w:sz="0" w:space="0" w:color="auto"/>
        <w:right w:val="none" w:sz="0" w:space="0" w:color="auto"/>
      </w:divBdr>
    </w:div>
    <w:div w:id="210213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lincnerova.karin@pacr.e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21D21-EAD6-4D61-9C82-713D9A5F5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1498</Words>
  <Characters>8843</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10321</CharactersWithSpaces>
  <SharedDoc>false</SharedDoc>
  <HLinks>
    <vt:vector size="42" baseType="variant">
      <vt:variant>
        <vt:i4>1507391</vt:i4>
      </vt:variant>
      <vt:variant>
        <vt:i4>35</vt:i4>
      </vt:variant>
      <vt:variant>
        <vt:i4>0</vt:i4>
      </vt:variant>
      <vt:variant>
        <vt:i4>5</vt:i4>
      </vt:variant>
      <vt:variant>
        <vt:lpwstr/>
      </vt:variant>
      <vt:variant>
        <vt:lpwstr>_Toc275595174</vt:lpwstr>
      </vt:variant>
      <vt:variant>
        <vt:i4>1507391</vt:i4>
      </vt:variant>
      <vt:variant>
        <vt:i4>29</vt:i4>
      </vt:variant>
      <vt:variant>
        <vt:i4>0</vt:i4>
      </vt:variant>
      <vt:variant>
        <vt:i4>5</vt:i4>
      </vt:variant>
      <vt:variant>
        <vt:lpwstr/>
      </vt:variant>
      <vt:variant>
        <vt:lpwstr>_Toc275595173</vt:lpwstr>
      </vt:variant>
      <vt:variant>
        <vt:i4>1507391</vt:i4>
      </vt:variant>
      <vt:variant>
        <vt:i4>23</vt:i4>
      </vt:variant>
      <vt:variant>
        <vt:i4>0</vt:i4>
      </vt:variant>
      <vt:variant>
        <vt:i4>5</vt:i4>
      </vt:variant>
      <vt:variant>
        <vt:lpwstr/>
      </vt:variant>
      <vt:variant>
        <vt:lpwstr>_Toc275595172</vt:lpwstr>
      </vt:variant>
      <vt:variant>
        <vt:i4>1507391</vt:i4>
      </vt:variant>
      <vt:variant>
        <vt:i4>17</vt:i4>
      </vt:variant>
      <vt:variant>
        <vt:i4>0</vt:i4>
      </vt:variant>
      <vt:variant>
        <vt:i4>5</vt:i4>
      </vt:variant>
      <vt:variant>
        <vt:lpwstr/>
      </vt:variant>
      <vt:variant>
        <vt:lpwstr>_Toc275595171</vt:lpwstr>
      </vt:variant>
      <vt:variant>
        <vt:i4>1507391</vt:i4>
      </vt:variant>
      <vt:variant>
        <vt:i4>11</vt:i4>
      </vt:variant>
      <vt:variant>
        <vt:i4>0</vt:i4>
      </vt:variant>
      <vt:variant>
        <vt:i4>5</vt:i4>
      </vt:variant>
      <vt:variant>
        <vt:lpwstr/>
      </vt:variant>
      <vt:variant>
        <vt:lpwstr>_Toc275595170</vt:lpwstr>
      </vt:variant>
      <vt:variant>
        <vt:i4>1441855</vt:i4>
      </vt:variant>
      <vt:variant>
        <vt:i4>5</vt:i4>
      </vt:variant>
      <vt:variant>
        <vt:i4>0</vt:i4>
      </vt:variant>
      <vt:variant>
        <vt:i4>5</vt:i4>
      </vt:variant>
      <vt:variant>
        <vt:lpwstr/>
      </vt:variant>
      <vt:variant>
        <vt:lpwstr>_Toc275595169</vt:lpwstr>
      </vt:variant>
      <vt:variant>
        <vt:i4>4980786</vt:i4>
      </vt:variant>
      <vt:variant>
        <vt:i4>0</vt:i4>
      </vt:variant>
      <vt:variant>
        <vt:i4>0</vt:i4>
      </vt:variant>
      <vt:variant>
        <vt:i4>5</vt:i4>
      </vt:variant>
      <vt:variant>
        <vt:lpwstr>mailto:plincnerova.karin@pacr.eu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Plincnerová</dc:creator>
  <cp:keywords/>
  <dc:description/>
  <cp:lastModifiedBy>Karin Plincnerová</cp:lastModifiedBy>
  <cp:revision>2</cp:revision>
  <cp:lastPrinted>2010-03-01T09:40:00Z</cp:lastPrinted>
  <dcterms:created xsi:type="dcterms:W3CDTF">2012-02-10T06:44:00Z</dcterms:created>
  <dcterms:modified xsi:type="dcterms:W3CDTF">2012-02-10T06:44:00Z</dcterms:modified>
</cp:coreProperties>
</file>