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B02" w:rsidRPr="00A17B02" w:rsidRDefault="00A17B02" w:rsidP="002D5E2B">
      <w:pPr>
        <w:pStyle w:val="Nzev"/>
        <w:spacing w:line="360" w:lineRule="auto"/>
        <w:rPr>
          <w:rFonts w:ascii="Arial" w:hAnsi="Arial" w:cs="Arial"/>
        </w:rPr>
      </w:pPr>
    </w:p>
    <w:p w:rsidR="00A17B02" w:rsidRPr="00A17B02" w:rsidRDefault="004A65C2" w:rsidP="002D5E2B">
      <w:pPr>
        <w:pStyle w:val="Nzev"/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40005</wp:posOffset>
            </wp:positionV>
            <wp:extent cx="742950" cy="723900"/>
            <wp:effectExtent l="1905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7B02" w:rsidRPr="00A17B02" w:rsidRDefault="00A17B02" w:rsidP="002D5E2B">
      <w:pPr>
        <w:spacing w:line="360" w:lineRule="auto"/>
        <w:rPr>
          <w:rFonts w:ascii="Arial" w:hAnsi="Arial" w:cs="Arial"/>
          <w:b/>
          <w:bCs/>
          <w:sz w:val="28"/>
        </w:rPr>
      </w:pPr>
      <w:bookmarkStart w:id="0" w:name="_Toc160597478"/>
      <w:bookmarkStart w:id="1" w:name="_Toc162088905"/>
      <w:r w:rsidRPr="00A17B02">
        <w:rPr>
          <w:rFonts w:ascii="Arial" w:hAnsi="Arial" w:cs="Arial"/>
          <w:b/>
          <w:bCs/>
          <w:sz w:val="28"/>
        </w:rPr>
        <w:t>POLICEJNÍ AKADEMIE ČESKÉ REPUBLIKY</w:t>
      </w:r>
      <w:bookmarkEnd w:id="0"/>
      <w:bookmarkEnd w:id="1"/>
      <w:r>
        <w:rPr>
          <w:rFonts w:ascii="Arial" w:hAnsi="Arial" w:cs="Arial"/>
          <w:b/>
          <w:bCs/>
          <w:sz w:val="28"/>
        </w:rPr>
        <w:t xml:space="preserve"> V PRAZE</w:t>
      </w:r>
    </w:p>
    <w:p w:rsidR="00A17B02" w:rsidRDefault="00A17B02" w:rsidP="002D5E2B">
      <w:pPr>
        <w:spacing w:line="360" w:lineRule="auto"/>
        <w:rPr>
          <w:rFonts w:ascii="Arial" w:hAnsi="Arial" w:cs="Arial"/>
          <w:sz w:val="32"/>
        </w:rPr>
      </w:pPr>
    </w:p>
    <w:p w:rsidR="00A17B02" w:rsidRDefault="00A17B02" w:rsidP="002D5E2B">
      <w:pPr>
        <w:spacing w:line="360" w:lineRule="auto"/>
        <w:rPr>
          <w:rFonts w:ascii="Arial" w:hAnsi="Arial" w:cs="Arial"/>
          <w:sz w:val="32"/>
        </w:rPr>
      </w:pPr>
    </w:p>
    <w:p w:rsidR="00A17B02" w:rsidRDefault="00A17B02" w:rsidP="002D5E2B">
      <w:pPr>
        <w:spacing w:line="360" w:lineRule="auto"/>
        <w:rPr>
          <w:rFonts w:ascii="Arial" w:hAnsi="Arial" w:cs="Arial"/>
          <w:sz w:val="32"/>
        </w:rPr>
      </w:pPr>
    </w:p>
    <w:p w:rsidR="00A17B02" w:rsidRPr="00A17B02" w:rsidRDefault="00A17B02" w:rsidP="002D5E2B">
      <w:pPr>
        <w:spacing w:line="360" w:lineRule="auto"/>
        <w:rPr>
          <w:rFonts w:ascii="Arial" w:hAnsi="Arial" w:cs="Arial"/>
          <w:sz w:val="32"/>
        </w:rPr>
      </w:pPr>
    </w:p>
    <w:p w:rsidR="00A17B02" w:rsidRDefault="00A17B02" w:rsidP="002D5E2B">
      <w:pPr>
        <w:spacing w:line="360" w:lineRule="auto"/>
        <w:jc w:val="center"/>
        <w:rPr>
          <w:rFonts w:ascii="Arial" w:hAnsi="Arial" w:cs="Arial"/>
        </w:rPr>
      </w:pPr>
    </w:p>
    <w:p w:rsidR="00A17B02" w:rsidRPr="00A17B02" w:rsidRDefault="00A17B02" w:rsidP="002D5E2B">
      <w:pPr>
        <w:spacing w:line="360" w:lineRule="auto"/>
        <w:jc w:val="center"/>
        <w:rPr>
          <w:rFonts w:ascii="Arial" w:hAnsi="Arial" w:cs="Arial"/>
        </w:rPr>
      </w:pPr>
    </w:p>
    <w:p w:rsidR="00A17B02" w:rsidRPr="00A17B02" w:rsidRDefault="00A17B02" w:rsidP="002D5E2B">
      <w:pPr>
        <w:spacing w:line="36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Principy pojištění v krizových situacích</w:t>
      </w:r>
    </w:p>
    <w:p w:rsidR="00A17B02" w:rsidRPr="00A17B02" w:rsidRDefault="00A17B02" w:rsidP="002D5E2B">
      <w:pPr>
        <w:spacing w:line="360" w:lineRule="auto"/>
        <w:jc w:val="center"/>
        <w:rPr>
          <w:rFonts w:ascii="Arial" w:hAnsi="Arial" w:cs="Arial"/>
          <w:sz w:val="40"/>
          <w:szCs w:val="40"/>
        </w:rPr>
      </w:pPr>
      <w:r w:rsidRPr="00A17B02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zaměření na územně samosprávný celek</w:t>
      </w:r>
      <w:r w:rsidRPr="00A17B02">
        <w:rPr>
          <w:rFonts w:ascii="Arial" w:hAnsi="Arial" w:cs="Arial"/>
          <w:sz w:val="28"/>
          <w:szCs w:val="28"/>
        </w:rPr>
        <w:t>)</w:t>
      </w:r>
    </w:p>
    <w:p w:rsidR="00A17B02" w:rsidRDefault="00A17B02" w:rsidP="002D5E2B">
      <w:pPr>
        <w:spacing w:line="360" w:lineRule="auto"/>
        <w:rPr>
          <w:rFonts w:ascii="Arial" w:hAnsi="Arial" w:cs="Arial"/>
          <w:sz w:val="32"/>
        </w:rPr>
      </w:pPr>
      <w:bookmarkStart w:id="2" w:name="_Toc160597479"/>
      <w:bookmarkStart w:id="3" w:name="_Toc162088906"/>
    </w:p>
    <w:p w:rsidR="00A17B02" w:rsidRPr="00A17B02" w:rsidRDefault="00A17B02" w:rsidP="002D5E2B">
      <w:pPr>
        <w:spacing w:line="360" w:lineRule="auto"/>
        <w:rPr>
          <w:rFonts w:ascii="Arial" w:hAnsi="Arial" w:cs="Arial"/>
          <w:sz w:val="32"/>
        </w:rPr>
      </w:pPr>
    </w:p>
    <w:p w:rsidR="00A17B02" w:rsidRPr="00A17B02" w:rsidRDefault="00A17B02" w:rsidP="002D5E2B">
      <w:pPr>
        <w:spacing w:line="360" w:lineRule="auto"/>
        <w:rPr>
          <w:rFonts w:ascii="Arial" w:hAnsi="Arial" w:cs="Arial"/>
          <w:sz w:val="32"/>
        </w:rPr>
      </w:pPr>
    </w:p>
    <w:p w:rsidR="00A17B02" w:rsidRPr="00A17B02" w:rsidRDefault="00A17B02" w:rsidP="002D5E2B">
      <w:pPr>
        <w:spacing w:line="360" w:lineRule="auto"/>
        <w:jc w:val="center"/>
        <w:rPr>
          <w:rFonts w:ascii="Arial" w:hAnsi="Arial" w:cs="Arial"/>
          <w:sz w:val="32"/>
        </w:rPr>
      </w:pPr>
      <w:r w:rsidRPr="00A17B02">
        <w:rPr>
          <w:rFonts w:ascii="Arial" w:hAnsi="Arial" w:cs="Arial"/>
          <w:sz w:val="32"/>
        </w:rPr>
        <w:t>Semestrální práce</w:t>
      </w:r>
    </w:p>
    <w:p w:rsidR="00A17B02" w:rsidRPr="00A17B02" w:rsidRDefault="00A17B02" w:rsidP="002D5E2B">
      <w:pPr>
        <w:spacing w:line="360" w:lineRule="auto"/>
        <w:jc w:val="center"/>
        <w:rPr>
          <w:rFonts w:ascii="Arial" w:hAnsi="Arial" w:cs="Arial"/>
          <w:sz w:val="32"/>
        </w:rPr>
      </w:pPr>
      <w:r w:rsidRPr="00A17B02">
        <w:rPr>
          <w:rFonts w:ascii="Arial" w:hAnsi="Arial" w:cs="Arial"/>
          <w:sz w:val="32"/>
        </w:rPr>
        <w:t xml:space="preserve">z předmětu </w:t>
      </w:r>
      <w:bookmarkEnd w:id="2"/>
      <w:bookmarkEnd w:id="3"/>
      <w:r>
        <w:rPr>
          <w:rFonts w:ascii="Arial" w:hAnsi="Arial" w:cs="Arial"/>
          <w:sz w:val="32"/>
        </w:rPr>
        <w:t>Ekonomika při řešení krizových situací</w:t>
      </w:r>
    </w:p>
    <w:p w:rsidR="00A17B02" w:rsidRPr="00A17B02" w:rsidRDefault="00A17B02" w:rsidP="002D5E2B">
      <w:pPr>
        <w:spacing w:line="360" w:lineRule="auto"/>
        <w:rPr>
          <w:rFonts w:ascii="Arial" w:hAnsi="Arial" w:cs="Arial"/>
          <w:sz w:val="28"/>
          <w:szCs w:val="28"/>
        </w:rPr>
      </w:pPr>
    </w:p>
    <w:p w:rsidR="00A17B02" w:rsidRDefault="00A17B02" w:rsidP="002D5E2B">
      <w:pPr>
        <w:spacing w:line="360" w:lineRule="auto"/>
        <w:rPr>
          <w:rFonts w:ascii="Arial" w:hAnsi="Arial" w:cs="Arial"/>
          <w:sz w:val="28"/>
          <w:szCs w:val="28"/>
        </w:rPr>
      </w:pPr>
    </w:p>
    <w:p w:rsidR="00A17B02" w:rsidRDefault="00A17B02" w:rsidP="002D5E2B">
      <w:pPr>
        <w:spacing w:line="360" w:lineRule="auto"/>
        <w:rPr>
          <w:rFonts w:ascii="Arial" w:hAnsi="Arial" w:cs="Arial"/>
          <w:sz w:val="28"/>
          <w:szCs w:val="28"/>
        </w:rPr>
      </w:pPr>
    </w:p>
    <w:p w:rsidR="00A17B02" w:rsidRPr="00A17B02" w:rsidRDefault="00A17B02" w:rsidP="002D5E2B">
      <w:pPr>
        <w:spacing w:line="360" w:lineRule="auto"/>
        <w:rPr>
          <w:rFonts w:ascii="Arial" w:hAnsi="Arial" w:cs="Arial"/>
          <w:sz w:val="28"/>
          <w:szCs w:val="28"/>
        </w:rPr>
      </w:pPr>
    </w:p>
    <w:p w:rsidR="00A17B02" w:rsidRDefault="00A17B02" w:rsidP="002D5E2B">
      <w:pPr>
        <w:spacing w:line="360" w:lineRule="auto"/>
        <w:rPr>
          <w:rFonts w:ascii="Arial" w:hAnsi="Arial" w:cs="Arial"/>
          <w:sz w:val="26"/>
          <w:szCs w:val="26"/>
        </w:rPr>
      </w:pPr>
    </w:p>
    <w:p w:rsidR="00A17B02" w:rsidRPr="00A17B02" w:rsidRDefault="00A17B02" w:rsidP="002D5E2B">
      <w:pPr>
        <w:spacing w:line="360" w:lineRule="auto"/>
        <w:rPr>
          <w:rFonts w:ascii="Arial" w:hAnsi="Arial" w:cs="Arial"/>
          <w:sz w:val="26"/>
          <w:szCs w:val="26"/>
        </w:rPr>
      </w:pPr>
    </w:p>
    <w:p w:rsidR="00A17B02" w:rsidRPr="00A17B02" w:rsidRDefault="00A17B02" w:rsidP="002D5E2B">
      <w:pPr>
        <w:spacing w:line="360" w:lineRule="auto"/>
        <w:rPr>
          <w:rFonts w:ascii="Arial" w:hAnsi="Arial" w:cs="Arial"/>
          <w:sz w:val="26"/>
          <w:szCs w:val="26"/>
        </w:rPr>
      </w:pPr>
      <w:bookmarkStart w:id="4" w:name="_Toc160597480"/>
      <w:bookmarkStart w:id="5" w:name="_Toc162088907"/>
      <w:r w:rsidRPr="00A17B02">
        <w:rPr>
          <w:rFonts w:ascii="Arial" w:hAnsi="Arial" w:cs="Arial"/>
          <w:sz w:val="26"/>
          <w:szCs w:val="26"/>
        </w:rPr>
        <w:t>Vypracovala: Karin Plincnerová</w:t>
      </w:r>
      <w:bookmarkEnd w:id="4"/>
      <w:bookmarkEnd w:id="5"/>
    </w:p>
    <w:p w:rsidR="00A17B02" w:rsidRPr="00A17B02" w:rsidRDefault="00A17B02" w:rsidP="002D5E2B">
      <w:pPr>
        <w:spacing w:line="360" w:lineRule="auto"/>
        <w:rPr>
          <w:rFonts w:ascii="Arial" w:hAnsi="Arial" w:cs="Arial"/>
          <w:sz w:val="26"/>
          <w:szCs w:val="26"/>
        </w:rPr>
      </w:pPr>
      <w:r w:rsidRPr="00A17B02">
        <w:rPr>
          <w:rFonts w:ascii="Arial" w:hAnsi="Arial" w:cs="Arial"/>
          <w:sz w:val="26"/>
          <w:szCs w:val="26"/>
        </w:rPr>
        <w:t>Obor:</w:t>
      </w:r>
      <w:r w:rsidRPr="00A17B02">
        <w:rPr>
          <w:rFonts w:ascii="Arial" w:hAnsi="Arial" w:cs="Arial"/>
          <w:sz w:val="26"/>
          <w:szCs w:val="26"/>
        </w:rPr>
        <w:tab/>
      </w:r>
      <w:r w:rsidRPr="00A17B02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Bezpečnostní management ve veřejné správě</w:t>
      </w:r>
    </w:p>
    <w:p w:rsidR="00A17B02" w:rsidRPr="00A17B02" w:rsidRDefault="00A17B02" w:rsidP="002D5E2B">
      <w:pPr>
        <w:spacing w:line="360" w:lineRule="auto"/>
        <w:rPr>
          <w:rFonts w:ascii="Arial" w:hAnsi="Arial" w:cs="Arial"/>
          <w:sz w:val="26"/>
          <w:szCs w:val="26"/>
        </w:rPr>
      </w:pPr>
      <w:r w:rsidRPr="00A17B02">
        <w:rPr>
          <w:rFonts w:ascii="Arial" w:hAnsi="Arial" w:cs="Arial"/>
          <w:sz w:val="26"/>
          <w:szCs w:val="26"/>
        </w:rPr>
        <w:t>Forma:</w:t>
      </w:r>
      <w:r w:rsidRPr="00A17B02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</w:t>
      </w:r>
      <w:r w:rsidRPr="00A17B02">
        <w:rPr>
          <w:rFonts w:ascii="Arial" w:hAnsi="Arial" w:cs="Arial"/>
          <w:sz w:val="26"/>
          <w:szCs w:val="26"/>
        </w:rPr>
        <w:t>kombinovaná</w:t>
      </w:r>
    </w:p>
    <w:p w:rsidR="00A17B02" w:rsidRPr="00A17B02" w:rsidRDefault="00A17B02" w:rsidP="002D5E2B">
      <w:pPr>
        <w:spacing w:line="360" w:lineRule="auto"/>
        <w:rPr>
          <w:rFonts w:ascii="Arial" w:hAnsi="Arial" w:cs="Arial"/>
          <w:sz w:val="26"/>
          <w:szCs w:val="26"/>
        </w:rPr>
      </w:pPr>
      <w:r w:rsidRPr="00A17B02">
        <w:rPr>
          <w:rFonts w:ascii="Arial" w:hAnsi="Arial" w:cs="Arial"/>
          <w:sz w:val="26"/>
          <w:szCs w:val="26"/>
        </w:rPr>
        <w:t>Ročník:</w:t>
      </w:r>
      <w:r w:rsidRPr="00A17B02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I</w:t>
      </w:r>
      <w:r w:rsidRPr="00A17B02">
        <w:rPr>
          <w:rFonts w:ascii="Arial" w:hAnsi="Arial" w:cs="Arial"/>
          <w:sz w:val="26"/>
          <w:szCs w:val="26"/>
        </w:rPr>
        <w:t>II.</w:t>
      </w:r>
    </w:p>
    <w:p w:rsidR="00A17B02" w:rsidRPr="00A17B02" w:rsidRDefault="00A17B02" w:rsidP="002D5E2B">
      <w:pPr>
        <w:spacing w:line="360" w:lineRule="auto"/>
        <w:rPr>
          <w:rFonts w:ascii="Arial" w:hAnsi="Arial" w:cs="Arial"/>
          <w:sz w:val="26"/>
          <w:szCs w:val="26"/>
        </w:rPr>
      </w:pPr>
      <w:r w:rsidRPr="00A17B02">
        <w:rPr>
          <w:rFonts w:ascii="Arial" w:hAnsi="Arial" w:cs="Arial"/>
          <w:sz w:val="26"/>
          <w:szCs w:val="26"/>
        </w:rPr>
        <w:t>Datum:</w:t>
      </w:r>
      <w:r w:rsidRPr="00A17B02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9</w:t>
      </w:r>
      <w:r w:rsidRPr="00A17B02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>3.2009</w:t>
      </w:r>
    </w:p>
    <w:p w:rsidR="00A17B02" w:rsidRDefault="00A17B02" w:rsidP="002D5E2B">
      <w:pPr>
        <w:spacing w:line="360" w:lineRule="auto"/>
        <w:rPr>
          <w:rFonts w:ascii="Arial" w:hAnsi="Arial" w:cs="Arial"/>
          <w:sz w:val="26"/>
          <w:szCs w:val="26"/>
        </w:rPr>
      </w:pPr>
      <w:r w:rsidRPr="00A17B02">
        <w:rPr>
          <w:rFonts w:ascii="Arial" w:hAnsi="Arial" w:cs="Arial"/>
          <w:sz w:val="26"/>
          <w:szCs w:val="26"/>
        </w:rPr>
        <w:t>E-mail:</w:t>
      </w:r>
      <w:r w:rsidRPr="00A17B02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</w:t>
      </w:r>
      <w:hyperlink r:id="rId9" w:history="1">
        <w:r w:rsidRPr="003B64CD">
          <w:rPr>
            <w:rStyle w:val="Hypertextovodkaz"/>
            <w:rFonts w:ascii="Arial" w:hAnsi="Arial" w:cs="Arial"/>
            <w:sz w:val="26"/>
            <w:szCs w:val="26"/>
          </w:rPr>
          <w:t>plincnerova.karin@pacr.eu</w:t>
        </w:r>
      </w:hyperlink>
    </w:p>
    <w:p w:rsidR="00A17B02" w:rsidRDefault="00101CB8" w:rsidP="002D5E2B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page"/>
      </w:r>
    </w:p>
    <w:p w:rsidR="00101CB8" w:rsidRDefault="00101CB8" w:rsidP="002D5E2B">
      <w:pPr>
        <w:spacing w:line="360" w:lineRule="auto"/>
        <w:rPr>
          <w:rFonts w:ascii="Arial" w:hAnsi="Arial" w:cs="Arial"/>
          <w:b/>
          <w:sz w:val="26"/>
          <w:szCs w:val="26"/>
        </w:rPr>
      </w:pPr>
      <w:r w:rsidRPr="00101CB8">
        <w:rPr>
          <w:rFonts w:ascii="Arial" w:hAnsi="Arial" w:cs="Arial"/>
          <w:b/>
          <w:sz w:val="26"/>
          <w:szCs w:val="26"/>
        </w:rPr>
        <w:t>Obsah:</w:t>
      </w:r>
    </w:p>
    <w:p w:rsidR="00101CB8" w:rsidRDefault="00101CB8" w:rsidP="002D5E2B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:rsidR="00101CB8" w:rsidRPr="00101CB8" w:rsidRDefault="00101CB8" w:rsidP="002D5E2B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:rsidR="00101CB8" w:rsidRPr="00101CB8" w:rsidRDefault="00101CB8" w:rsidP="002D5E2B">
      <w:pPr>
        <w:pStyle w:val="Obsah1"/>
        <w:tabs>
          <w:tab w:val="left" w:pos="480"/>
          <w:tab w:val="right" w:leader="dot" w:pos="9062"/>
        </w:tabs>
        <w:spacing w:line="360" w:lineRule="auto"/>
        <w:rPr>
          <w:rFonts w:ascii="Arial" w:hAnsi="Arial" w:cs="Arial"/>
          <w:noProof/>
          <w:sz w:val="26"/>
          <w:szCs w:val="26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224313240" w:history="1"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1.</w:t>
        </w:r>
        <w:r w:rsidRPr="00101CB8">
          <w:rPr>
            <w:rFonts w:ascii="Arial" w:hAnsi="Arial" w:cs="Arial"/>
            <w:noProof/>
            <w:sz w:val="26"/>
            <w:szCs w:val="26"/>
          </w:rPr>
          <w:tab/>
        </w:r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Úvod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_Toc224313240 \h </w:instrText>
        </w:r>
        <w:r w:rsidRPr="00101CB8">
          <w:rPr>
            <w:rFonts w:ascii="Arial" w:hAnsi="Arial" w:cs="Arial"/>
            <w:noProof/>
            <w:sz w:val="26"/>
            <w:szCs w:val="26"/>
          </w:rPr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2D5E2B">
          <w:rPr>
            <w:rFonts w:ascii="Arial" w:hAnsi="Arial" w:cs="Arial"/>
            <w:noProof/>
            <w:webHidden/>
            <w:sz w:val="26"/>
            <w:szCs w:val="26"/>
          </w:rPr>
          <w:t>3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101CB8" w:rsidRPr="00101CB8" w:rsidRDefault="00101CB8" w:rsidP="002D5E2B">
      <w:pPr>
        <w:pStyle w:val="Obsah1"/>
        <w:tabs>
          <w:tab w:val="left" w:pos="480"/>
          <w:tab w:val="right" w:leader="dot" w:pos="9062"/>
        </w:tabs>
        <w:spacing w:line="360" w:lineRule="auto"/>
        <w:rPr>
          <w:rFonts w:ascii="Arial" w:hAnsi="Arial" w:cs="Arial"/>
          <w:noProof/>
          <w:sz w:val="26"/>
          <w:szCs w:val="26"/>
        </w:rPr>
      </w:pPr>
      <w:hyperlink w:anchor="_Toc224313241" w:history="1"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2.</w:t>
        </w:r>
        <w:r w:rsidRPr="00101CB8">
          <w:rPr>
            <w:rFonts w:ascii="Arial" w:hAnsi="Arial" w:cs="Arial"/>
            <w:noProof/>
            <w:sz w:val="26"/>
            <w:szCs w:val="26"/>
          </w:rPr>
          <w:tab/>
        </w:r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Právní základ připravenosti na mimořádné situace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_Toc224313241 \h </w:instrText>
        </w:r>
        <w:r w:rsidRPr="00101CB8">
          <w:rPr>
            <w:rFonts w:ascii="Arial" w:hAnsi="Arial" w:cs="Arial"/>
            <w:noProof/>
            <w:sz w:val="26"/>
            <w:szCs w:val="26"/>
          </w:rPr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2D5E2B">
          <w:rPr>
            <w:rFonts w:ascii="Arial" w:hAnsi="Arial" w:cs="Arial"/>
            <w:noProof/>
            <w:webHidden/>
            <w:sz w:val="26"/>
            <w:szCs w:val="26"/>
          </w:rPr>
          <w:t>3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101CB8" w:rsidRPr="00101CB8" w:rsidRDefault="00101CB8" w:rsidP="002D5E2B">
      <w:pPr>
        <w:pStyle w:val="Obsah1"/>
        <w:tabs>
          <w:tab w:val="left" w:pos="480"/>
          <w:tab w:val="right" w:leader="dot" w:pos="9062"/>
        </w:tabs>
        <w:spacing w:line="360" w:lineRule="auto"/>
        <w:rPr>
          <w:rFonts w:ascii="Arial" w:hAnsi="Arial" w:cs="Arial"/>
          <w:noProof/>
          <w:sz w:val="26"/>
          <w:szCs w:val="26"/>
        </w:rPr>
      </w:pPr>
      <w:hyperlink w:anchor="_Toc224313242" w:history="1"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3.</w:t>
        </w:r>
        <w:r w:rsidRPr="00101CB8">
          <w:rPr>
            <w:rFonts w:ascii="Arial" w:hAnsi="Arial" w:cs="Arial"/>
            <w:noProof/>
            <w:sz w:val="26"/>
            <w:szCs w:val="26"/>
          </w:rPr>
          <w:tab/>
        </w:r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Financování krizového řízení na úrovni obce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_Toc224313242 \h </w:instrText>
        </w:r>
        <w:r w:rsidRPr="00101CB8">
          <w:rPr>
            <w:rFonts w:ascii="Arial" w:hAnsi="Arial" w:cs="Arial"/>
            <w:noProof/>
            <w:sz w:val="26"/>
            <w:szCs w:val="26"/>
          </w:rPr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2D5E2B">
          <w:rPr>
            <w:rFonts w:ascii="Arial" w:hAnsi="Arial" w:cs="Arial"/>
            <w:noProof/>
            <w:webHidden/>
            <w:sz w:val="26"/>
            <w:szCs w:val="26"/>
          </w:rPr>
          <w:t>4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101CB8" w:rsidRPr="00101CB8" w:rsidRDefault="00101CB8" w:rsidP="002D5E2B">
      <w:pPr>
        <w:pStyle w:val="Obsah1"/>
        <w:tabs>
          <w:tab w:val="left" w:pos="480"/>
          <w:tab w:val="right" w:leader="dot" w:pos="9062"/>
        </w:tabs>
        <w:spacing w:line="360" w:lineRule="auto"/>
        <w:rPr>
          <w:rFonts w:ascii="Arial" w:hAnsi="Arial" w:cs="Arial"/>
          <w:noProof/>
          <w:sz w:val="26"/>
          <w:szCs w:val="26"/>
        </w:rPr>
      </w:pPr>
      <w:hyperlink w:anchor="_Toc224313243" w:history="1"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4.</w:t>
        </w:r>
        <w:r w:rsidRPr="00101CB8">
          <w:rPr>
            <w:rFonts w:ascii="Arial" w:hAnsi="Arial" w:cs="Arial"/>
            <w:noProof/>
            <w:sz w:val="26"/>
            <w:szCs w:val="26"/>
          </w:rPr>
          <w:tab/>
        </w:r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Pojištění majetku ve vlastnictví obce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_Toc224313243 \h </w:instrText>
        </w:r>
        <w:r w:rsidRPr="00101CB8">
          <w:rPr>
            <w:rFonts w:ascii="Arial" w:hAnsi="Arial" w:cs="Arial"/>
            <w:noProof/>
            <w:sz w:val="26"/>
            <w:szCs w:val="26"/>
          </w:rPr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2D5E2B">
          <w:rPr>
            <w:rFonts w:ascii="Arial" w:hAnsi="Arial" w:cs="Arial"/>
            <w:noProof/>
            <w:webHidden/>
            <w:sz w:val="26"/>
            <w:szCs w:val="26"/>
          </w:rPr>
          <w:t>6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101CB8" w:rsidRPr="00101CB8" w:rsidRDefault="00101CB8" w:rsidP="002D5E2B">
      <w:pPr>
        <w:pStyle w:val="Obsah1"/>
        <w:tabs>
          <w:tab w:val="left" w:pos="480"/>
          <w:tab w:val="right" w:leader="dot" w:pos="9062"/>
        </w:tabs>
        <w:spacing w:line="360" w:lineRule="auto"/>
        <w:rPr>
          <w:rFonts w:ascii="Arial" w:hAnsi="Arial" w:cs="Arial"/>
          <w:noProof/>
          <w:sz w:val="26"/>
          <w:szCs w:val="26"/>
        </w:rPr>
      </w:pPr>
      <w:hyperlink w:anchor="_Toc224313244" w:history="1"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5.</w:t>
        </w:r>
        <w:r w:rsidRPr="00101CB8">
          <w:rPr>
            <w:rFonts w:ascii="Arial" w:hAnsi="Arial" w:cs="Arial"/>
            <w:noProof/>
            <w:sz w:val="26"/>
            <w:szCs w:val="26"/>
          </w:rPr>
          <w:tab/>
        </w:r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Empirické zjištění stavu pojištění vybrané obce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_Toc224313244 \h </w:instrText>
        </w:r>
        <w:r w:rsidRPr="00101CB8">
          <w:rPr>
            <w:rFonts w:ascii="Arial" w:hAnsi="Arial" w:cs="Arial"/>
            <w:noProof/>
            <w:sz w:val="26"/>
            <w:szCs w:val="26"/>
          </w:rPr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2D5E2B">
          <w:rPr>
            <w:rFonts w:ascii="Arial" w:hAnsi="Arial" w:cs="Arial"/>
            <w:noProof/>
            <w:webHidden/>
            <w:sz w:val="26"/>
            <w:szCs w:val="26"/>
          </w:rPr>
          <w:t>7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101CB8" w:rsidRPr="00101CB8" w:rsidRDefault="00101CB8" w:rsidP="002D5E2B">
      <w:pPr>
        <w:pStyle w:val="Obsah1"/>
        <w:tabs>
          <w:tab w:val="left" w:pos="480"/>
          <w:tab w:val="right" w:leader="dot" w:pos="9062"/>
        </w:tabs>
        <w:spacing w:line="360" w:lineRule="auto"/>
        <w:rPr>
          <w:rStyle w:val="Hypertextovodkaz"/>
          <w:rFonts w:ascii="Arial" w:hAnsi="Arial" w:cs="Arial"/>
          <w:noProof/>
          <w:sz w:val="26"/>
          <w:szCs w:val="26"/>
        </w:rPr>
      </w:pPr>
      <w:hyperlink w:anchor="_Toc224313245" w:history="1"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6.</w:t>
        </w:r>
        <w:r w:rsidRPr="00101CB8">
          <w:rPr>
            <w:rFonts w:ascii="Arial" w:hAnsi="Arial" w:cs="Arial"/>
            <w:noProof/>
            <w:sz w:val="26"/>
            <w:szCs w:val="26"/>
          </w:rPr>
          <w:tab/>
        </w:r>
        <w:r w:rsidRPr="00101CB8">
          <w:rPr>
            <w:rStyle w:val="Hypertextovodkaz"/>
            <w:rFonts w:ascii="Arial" w:hAnsi="Arial" w:cs="Arial"/>
            <w:noProof/>
            <w:sz w:val="26"/>
            <w:szCs w:val="26"/>
          </w:rPr>
          <w:t>Závěr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tab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begin"/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instrText xml:space="preserve"> PAGEREF _Toc224313245 \h </w:instrText>
        </w:r>
        <w:r w:rsidRPr="00101CB8">
          <w:rPr>
            <w:rFonts w:ascii="Arial" w:hAnsi="Arial" w:cs="Arial"/>
            <w:noProof/>
            <w:sz w:val="26"/>
            <w:szCs w:val="26"/>
          </w:rPr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separate"/>
        </w:r>
        <w:r w:rsidR="002D5E2B">
          <w:rPr>
            <w:rFonts w:ascii="Arial" w:hAnsi="Arial" w:cs="Arial"/>
            <w:noProof/>
            <w:webHidden/>
            <w:sz w:val="26"/>
            <w:szCs w:val="26"/>
          </w:rPr>
          <w:t>8</w:t>
        </w:r>
        <w:r w:rsidRPr="00101CB8">
          <w:rPr>
            <w:rFonts w:ascii="Arial" w:hAnsi="Arial" w:cs="Arial"/>
            <w:noProof/>
            <w:webHidden/>
            <w:sz w:val="26"/>
            <w:szCs w:val="26"/>
          </w:rPr>
          <w:fldChar w:fldCharType="end"/>
        </w:r>
      </w:hyperlink>
    </w:p>
    <w:p w:rsidR="00101CB8" w:rsidRDefault="00101CB8" w:rsidP="002D5E2B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</w:rPr>
      </w:pPr>
      <w:r>
        <w:rPr>
          <w:rStyle w:val="Hypertextovodkaz"/>
          <w:noProof/>
        </w:rPr>
        <w:br w:type="page"/>
      </w:r>
    </w:p>
    <w:p w:rsidR="00A17B02" w:rsidRDefault="00101CB8" w:rsidP="002D5E2B">
      <w:pPr>
        <w:pStyle w:val="Nadpis1"/>
        <w:numPr>
          <w:ilvl w:val="0"/>
          <w:numId w:val="5"/>
        </w:numPr>
        <w:spacing w:line="360" w:lineRule="auto"/>
      </w:pPr>
      <w:r>
        <w:fldChar w:fldCharType="end"/>
      </w:r>
      <w:bookmarkStart w:id="6" w:name="_Toc224313240"/>
      <w:r w:rsidR="00A17B02">
        <w:t>Úvod</w:t>
      </w:r>
      <w:bookmarkEnd w:id="6"/>
    </w:p>
    <w:p w:rsidR="00142AA7" w:rsidRPr="00636A7E" w:rsidRDefault="00142AA7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17B02">
        <w:rPr>
          <w:rFonts w:ascii="Arial" w:hAnsi="Arial" w:cs="Arial"/>
          <w:sz w:val="26"/>
          <w:szCs w:val="26"/>
        </w:rPr>
        <w:t>Základním posláním a úkolem Bezpečnostního systému ČR je nejen</w:t>
      </w:r>
      <w:r w:rsidRPr="00636A7E">
        <w:rPr>
          <w:rFonts w:ascii="Arial" w:hAnsi="Arial" w:cs="Arial"/>
          <w:sz w:val="26"/>
          <w:szCs w:val="26"/>
        </w:rPr>
        <w:t xml:space="preserve"> předcházení vzniku krizových situací, příprava na mimořádné události</w:t>
      </w:r>
      <w:r w:rsidR="00D10871">
        <w:rPr>
          <w:rFonts w:ascii="Arial" w:hAnsi="Arial" w:cs="Arial"/>
          <w:sz w:val="26"/>
          <w:szCs w:val="26"/>
        </w:rPr>
        <w:br/>
      </w:r>
      <w:r w:rsidRPr="00636A7E">
        <w:rPr>
          <w:rFonts w:ascii="Arial" w:hAnsi="Arial" w:cs="Arial"/>
          <w:sz w:val="26"/>
          <w:szCs w:val="26"/>
        </w:rPr>
        <w:t>a krizové situace a jejich řešení, ale i eliminace negativních dopadů těchto událostí na fungování státu. Propracovanost bezpečnostního systému se snaží zajistit organizační provázanost mezi ústřední a územní úrovní krizového řízení. S ohledem na rozlišení situací vyžadujících zásah veřejné správy</w:t>
      </w:r>
      <w:r w:rsidR="006C7B79" w:rsidRPr="00636A7E">
        <w:rPr>
          <w:rFonts w:ascii="Arial" w:hAnsi="Arial" w:cs="Arial"/>
          <w:sz w:val="26"/>
          <w:szCs w:val="26"/>
        </w:rPr>
        <w:t>,</w:t>
      </w:r>
      <w:r w:rsidRPr="00636A7E">
        <w:rPr>
          <w:rFonts w:ascii="Arial" w:hAnsi="Arial" w:cs="Arial"/>
          <w:sz w:val="26"/>
          <w:szCs w:val="26"/>
        </w:rPr>
        <w:t xml:space="preserve"> ve spolupráci se složkami IZS</w:t>
      </w:r>
      <w:r w:rsidR="006C7B79" w:rsidRPr="00636A7E">
        <w:rPr>
          <w:rFonts w:ascii="Arial" w:hAnsi="Arial" w:cs="Arial"/>
          <w:sz w:val="26"/>
          <w:szCs w:val="26"/>
        </w:rPr>
        <w:t>,</w:t>
      </w:r>
      <w:r w:rsidRPr="00636A7E">
        <w:rPr>
          <w:rFonts w:ascii="Arial" w:hAnsi="Arial" w:cs="Arial"/>
          <w:sz w:val="26"/>
          <w:szCs w:val="26"/>
        </w:rPr>
        <w:t xml:space="preserve"> vlastními prostředky, tedy mimořádné situace a situací vyžadujících vyšší úroveň řízení, krizové situace a především s ohledem na rozsah dopadů těchto událostí na chráněné zájmy, je třeba zajistit důkladnou informovanost a připravenost územně samosprávných celků. </w:t>
      </w:r>
    </w:p>
    <w:p w:rsidR="00A17B02" w:rsidRDefault="00A17B02" w:rsidP="002D5E2B">
      <w:pPr>
        <w:pStyle w:val="Nadpis1"/>
        <w:numPr>
          <w:ilvl w:val="0"/>
          <w:numId w:val="5"/>
        </w:numPr>
        <w:spacing w:line="360" w:lineRule="auto"/>
      </w:pPr>
      <w:bookmarkStart w:id="7" w:name="_Toc224313241"/>
      <w:r>
        <w:t>Právní základ připravenosti na mimořádné situace</w:t>
      </w:r>
      <w:bookmarkEnd w:id="7"/>
    </w:p>
    <w:p w:rsidR="00EE224C" w:rsidRDefault="00636A7E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36A7E">
        <w:rPr>
          <w:rFonts w:ascii="Arial" w:hAnsi="Arial" w:cs="Arial"/>
          <w:sz w:val="26"/>
          <w:szCs w:val="26"/>
        </w:rPr>
        <w:t xml:space="preserve">Právní základ pro připravenost územně samosprávných celků na mimořádné situace a jejich financování je možné nalézt již v Ústavě ČR v čl. 100, který výslovně stanovuje, že územně samosprávné celky jsou územními společenstvími občanů s právem na samosprávu. Tedy správu vlastních záležitostí bez zásahu státu, která je zaručena čl. 8. </w:t>
      </w:r>
      <w:r w:rsidR="00EE224C">
        <w:rPr>
          <w:rFonts w:ascii="Arial" w:hAnsi="Arial" w:cs="Arial"/>
          <w:sz w:val="26"/>
          <w:szCs w:val="26"/>
        </w:rPr>
        <w:t xml:space="preserve">Dalším důležitým právním předpisem je Ústavní zákon </w:t>
      </w:r>
      <w:r w:rsidR="003C6A54">
        <w:rPr>
          <w:rFonts w:ascii="Arial" w:hAnsi="Arial" w:cs="Arial"/>
          <w:sz w:val="26"/>
          <w:szCs w:val="26"/>
        </w:rPr>
        <w:t xml:space="preserve">č. </w:t>
      </w:r>
      <w:r w:rsidR="00EE224C">
        <w:rPr>
          <w:rFonts w:ascii="Arial" w:hAnsi="Arial" w:cs="Arial"/>
          <w:sz w:val="26"/>
          <w:szCs w:val="26"/>
        </w:rPr>
        <w:t xml:space="preserve">110/1998 Sb., o bezpečnosti ČR. Jak Ústava, tak zákon o bezpečnosti ČR tvoří obecný právní rámec, který je konkretizován řadou dalších zákonů, vyhlášek a metodických pokynů věcně příslušných ministerstev. Jako příklad je možné uvést zákon </w:t>
      </w:r>
      <w:r w:rsidR="003C6A54">
        <w:rPr>
          <w:rFonts w:ascii="Arial" w:hAnsi="Arial" w:cs="Arial"/>
          <w:sz w:val="26"/>
          <w:szCs w:val="26"/>
        </w:rPr>
        <w:t xml:space="preserve">č. </w:t>
      </w:r>
      <w:r w:rsidR="00EE224C">
        <w:rPr>
          <w:rFonts w:ascii="Arial" w:hAnsi="Arial" w:cs="Arial"/>
          <w:sz w:val="26"/>
          <w:szCs w:val="26"/>
        </w:rPr>
        <w:t xml:space="preserve">2/1969 Sb., o zřízení ministerstev a jiných ústředních orgánů státní správy ČR (kompetenční zákon), zákon </w:t>
      </w:r>
      <w:r w:rsidR="003C6A54">
        <w:rPr>
          <w:rFonts w:ascii="Arial" w:hAnsi="Arial" w:cs="Arial"/>
          <w:sz w:val="26"/>
          <w:szCs w:val="26"/>
        </w:rPr>
        <w:t xml:space="preserve">č. </w:t>
      </w:r>
      <w:r w:rsidR="00EE224C">
        <w:rPr>
          <w:rFonts w:ascii="Arial" w:hAnsi="Arial" w:cs="Arial"/>
          <w:sz w:val="26"/>
          <w:szCs w:val="26"/>
        </w:rPr>
        <w:t>240/2000 Sb., o krizovém řízení</w:t>
      </w:r>
      <w:r w:rsidR="00990682">
        <w:rPr>
          <w:rFonts w:ascii="Arial" w:hAnsi="Arial" w:cs="Arial"/>
          <w:sz w:val="26"/>
          <w:szCs w:val="26"/>
        </w:rPr>
        <w:t xml:space="preserve"> (krizový zákon)</w:t>
      </w:r>
      <w:r w:rsidR="00EE224C">
        <w:rPr>
          <w:rFonts w:ascii="Arial" w:hAnsi="Arial" w:cs="Arial"/>
          <w:sz w:val="26"/>
          <w:szCs w:val="26"/>
        </w:rPr>
        <w:t>, zákon</w:t>
      </w:r>
      <w:r w:rsidR="00990682">
        <w:rPr>
          <w:rFonts w:ascii="Arial" w:hAnsi="Arial" w:cs="Arial"/>
          <w:sz w:val="26"/>
          <w:szCs w:val="26"/>
        </w:rPr>
        <w:br/>
      </w:r>
      <w:r w:rsidR="003C6A54">
        <w:rPr>
          <w:rFonts w:ascii="Arial" w:hAnsi="Arial" w:cs="Arial"/>
          <w:sz w:val="26"/>
          <w:szCs w:val="26"/>
        </w:rPr>
        <w:t xml:space="preserve">č. </w:t>
      </w:r>
      <w:r w:rsidR="00EE224C">
        <w:rPr>
          <w:rFonts w:ascii="Arial" w:hAnsi="Arial" w:cs="Arial"/>
          <w:sz w:val="26"/>
          <w:szCs w:val="26"/>
        </w:rPr>
        <w:t>241/2000 Sb.,</w:t>
      </w:r>
      <w:r w:rsidR="00990682">
        <w:rPr>
          <w:rFonts w:ascii="Arial" w:hAnsi="Arial" w:cs="Arial"/>
          <w:sz w:val="26"/>
          <w:szCs w:val="26"/>
        </w:rPr>
        <w:t xml:space="preserve"> </w:t>
      </w:r>
      <w:r w:rsidR="00EE224C">
        <w:rPr>
          <w:rFonts w:ascii="Arial" w:hAnsi="Arial" w:cs="Arial"/>
          <w:sz w:val="26"/>
          <w:szCs w:val="26"/>
        </w:rPr>
        <w:t>o hospodářských opatřeních pro krizové stavy. Zákony upravující územně samosprávné celky, jejich práva a povinnosti, tzn. zákon</w:t>
      </w:r>
      <w:r w:rsidR="00990682">
        <w:rPr>
          <w:rFonts w:ascii="Arial" w:hAnsi="Arial" w:cs="Arial"/>
          <w:sz w:val="26"/>
          <w:szCs w:val="26"/>
        </w:rPr>
        <w:br/>
      </w:r>
      <w:r w:rsidR="003C6A54">
        <w:rPr>
          <w:rFonts w:ascii="Arial" w:hAnsi="Arial" w:cs="Arial"/>
          <w:sz w:val="26"/>
          <w:szCs w:val="26"/>
        </w:rPr>
        <w:t xml:space="preserve">č. </w:t>
      </w:r>
      <w:r w:rsidR="00EE224C">
        <w:rPr>
          <w:rFonts w:ascii="Arial" w:hAnsi="Arial" w:cs="Arial"/>
          <w:sz w:val="26"/>
          <w:szCs w:val="26"/>
        </w:rPr>
        <w:t>128/2000 Sb.,</w:t>
      </w:r>
      <w:r w:rsidR="00990682">
        <w:rPr>
          <w:rFonts w:ascii="Arial" w:hAnsi="Arial" w:cs="Arial"/>
          <w:sz w:val="26"/>
          <w:szCs w:val="26"/>
        </w:rPr>
        <w:t xml:space="preserve"> </w:t>
      </w:r>
      <w:r w:rsidR="00EE224C">
        <w:rPr>
          <w:rFonts w:ascii="Arial" w:hAnsi="Arial" w:cs="Arial"/>
          <w:sz w:val="26"/>
          <w:szCs w:val="26"/>
        </w:rPr>
        <w:t xml:space="preserve">o obcích (obecní zřízení), zákon </w:t>
      </w:r>
      <w:r w:rsidR="003C6A54">
        <w:rPr>
          <w:rFonts w:ascii="Arial" w:hAnsi="Arial" w:cs="Arial"/>
          <w:sz w:val="26"/>
          <w:szCs w:val="26"/>
        </w:rPr>
        <w:t xml:space="preserve">č. </w:t>
      </w:r>
      <w:r w:rsidR="00EE224C">
        <w:rPr>
          <w:rFonts w:ascii="Arial" w:hAnsi="Arial" w:cs="Arial"/>
          <w:sz w:val="26"/>
          <w:szCs w:val="26"/>
        </w:rPr>
        <w:t>129/2000 Sb., o krajích (krajské zřízení),</w:t>
      </w:r>
      <w:r w:rsidR="00990682">
        <w:rPr>
          <w:rFonts w:ascii="Arial" w:hAnsi="Arial" w:cs="Arial"/>
          <w:sz w:val="26"/>
          <w:szCs w:val="26"/>
        </w:rPr>
        <w:t xml:space="preserve"> </w:t>
      </w:r>
      <w:r w:rsidR="003C6A54">
        <w:rPr>
          <w:rFonts w:ascii="Arial" w:hAnsi="Arial" w:cs="Arial"/>
          <w:sz w:val="26"/>
          <w:szCs w:val="26"/>
        </w:rPr>
        <w:t xml:space="preserve">č. </w:t>
      </w:r>
      <w:r w:rsidR="00EE224C">
        <w:rPr>
          <w:rFonts w:ascii="Arial" w:hAnsi="Arial" w:cs="Arial"/>
          <w:sz w:val="26"/>
          <w:szCs w:val="26"/>
        </w:rPr>
        <w:t xml:space="preserve">131/2000 Sb., o hlavním městě Praze. Ze </w:t>
      </w:r>
      <w:r w:rsidR="003C6A54">
        <w:rPr>
          <w:rFonts w:ascii="Arial" w:hAnsi="Arial" w:cs="Arial"/>
          <w:sz w:val="26"/>
          <w:szCs w:val="26"/>
        </w:rPr>
        <w:t>předpisů</w:t>
      </w:r>
      <w:r w:rsidR="00EE224C">
        <w:rPr>
          <w:rFonts w:ascii="Arial" w:hAnsi="Arial" w:cs="Arial"/>
          <w:sz w:val="26"/>
          <w:szCs w:val="26"/>
        </w:rPr>
        <w:t xml:space="preserve"> upravujících financování jde zejména o zákon </w:t>
      </w:r>
      <w:r w:rsidR="003C6A54">
        <w:rPr>
          <w:rFonts w:ascii="Arial" w:hAnsi="Arial" w:cs="Arial"/>
          <w:sz w:val="26"/>
          <w:szCs w:val="26"/>
        </w:rPr>
        <w:t xml:space="preserve">č. </w:t>
      </w:r>
      <w:r w:rsidR="00EE224C">
        <w:rPr>
          <w:rFonts w:ascii="Arial" w:hAnsi="Arial" w:cs="Arial"/>
          <w:sz w:val="26"/>
          <w:szCs w:val="26"/>
        </w:rPr>
        <w:t xml:space="preserve">218/2000 Sb., </w:t>
      </w:r>
      <w:r w:rsidR="003C6A54">
        <w:rPr>
          <w:rFonts w:ascii="Arial" w:hAnsi="Arial" w:cs="Arial"/>
          <w:sz w:val="26"/>
          <w:szCs w:val="26"/>
        </w:rPr>
        <w:t xml:space="preserve">o rozpočtových </w:t>
      </w:r>
      <w:r w:rsidR="003C6A54">
        <w:rPr>
          <w:rFonts w:ascii="Arial" w:hAnsi="Arial" w:cs="Arial"/>
          <w:sz w:val="26"/>
          <w:szCs w:val="26"/>
        </w:rPr>
        <w:lastRenderedPageBreak/>
        <w:t>pravidlech a změně některých souvisejících zákonů (rozpočtová pravidla), zákon č. 250/2000 Sb., o rozpočtových pravidlech územních rozpočtů, zákon č. 59/2000 Sb.,</w:t>
      </w:r>
      <w:r w:rsidR="00990682">
        <w:rPr>
          <w:rFonts w:ascii="Arial" w:hAnsi="Arial" w:cs="Arial"/>
          <w:sz w:val="26"/>
          <w:szCs w:val="26"/>
        </w:rPr>
        <w:t xml:space="preserve"> </w:t>
      </w:r>
      <w:r w:rsidR="003C6A54">
        <w:rPr>
          <w:rFonts w:ascii="Arial" w:hAnsi="Arial" w:cs="Arial"/>
          <w:sz w:val="26"/>
          <w:szCs w:val="26"/>
        </w:rPr>
        <w:t>o veřejné podpoře, zákon č. 248/2000 Sb., o podpoře regionálního rozvoje, zákon č. 12/2002 Sb., o státní pomoci při obnově území postiženého živelní nebo jinou pohromou a o změně zákona  č. 363/1999 Sb., o pojišťovnictví</w:t>
      </w:r>
      <w:r w:rsidR="002331EF">
        <w:rPr>
          <w:rFonts w:ascii="Arial" w:hAnsi="Arial" w:cs="Arial"/>
          <w:sz w:val="26"/>
          <w:szCs w:val="26"/>
        </w:rPr>
        <w:t>. Obecně práva a povinnosti vyplývající z</w:t>
      </w:r>
      <w:r w:rsidR="00990682">
        <w:rPr>
          <w:rFonts w:ascii="Arial" w:hAnsi="Arial" w:cs="Arial"/>
          <w:sz w:val="26"/>
          <w:szCs w:val="26"/>
        </w:rPr>
        <w:t> </w:t>
      </w:r>
      <w:r w:rsidR="002331EF">
        <w:rPr>
          <w:rFonts w:ascii="Arial" w:hAnsi="Arial" w:cs="Arial"/>
          <w:sz w:val="26"/>
          <w:szCs w:val="26"/>
        </w:rPr>
        <w:t>vlastnického</w:t>
      </w:r>
      <w:r w:rsidR="00990682">
        <w:rPr>
          <w:rFonts w:ascii="Arial" w:hAnsi="Arial" w:cs="Arial"/>
          <w:sz w:val="26"/>
          <w:szCs w:val="26"/>
        </w:rPr>
        <w:br/>
      </w:r>
      <w:r w:rsidR="00766690">
        <w:rPr>
          <w:rFonts w:ascii="Arial" w:hAnsi="Arial" w:cs="Arial"/>
          <w:sz w:val="26"/>
          <w:szCs w:val="26"/>
        </w:rPr>
        <w:t xml:space="preserve">a závazkového </w:t>
      </w:r>
      <w:r w:rsidR="002331EF">
        <w:rPr>
          <w:rFonts w:ascii="Arial" w:hAnsi="Arial" w:cs="Arial"/>
          <w:sz w:val="26"/>
          <w:szCs w:val="26"/>
        </w:rPr>
        <w:t>práva upravuje zákon č. 40/1964 Sb., občanský zákoník</w:t>
      </w:r>
      <w:r w:rsidR="00766690">
        <w:rPr>
          <w:rFonts w:ascii="Arial" w:hAnsi="Arial" w:cs="Arial"/>
          <w:sz w:val="26"/>
          <w:szCs w:val="26"/>
        </w:rPr>
        <w:t>. Je nutné zmínit i zákon</w:t>
      </w:r>
      <w:r w:rsidR="00990682">
        <w:rPr>
          <w:rFonts w:ascii="Arial" w:hAnsi="Arial" w:cs="Arial"/>
          <w:sz w:val="26"/>
          <w:szCs w:val="26"/>
        </w:rPr>
        <w:t xml:space="preserve"> </w:t>
      </w:r>
      <w:r w:rsidR="00766690">
        <w:rPr>
          <w:rFonts w:ascii="Arial" w:hAnsi="Arial" w:cs="Arial"/>
          <w:sz w:val="26"/>
          <w:szCs w:val="26"/>
        </w:rPr>
        <w:t xml:space="preserve">č. 320/2001 Sb., o finanční kontrole ve veřejné správě. </w:t>
      </w:r>
    </w:p>
    <w:p w:rsidR="00A17B02" w:rsidRDefault="00A17B02" w:rsidP="002D5E2B">
      <w:pPr>
        <w:pStyle w:val="Nadpis1"/>
        <w:numPr>
          <w:ilvl w:val="0"/>
          <w:numId w:val="5"/>
        </w:numPr>
        <w:spacing w:line="360" w:lineRule="auto"/>
      </w:pPr>
      <w:bookmarkStart w:id="8" w:name="_Toc224313242"/>
      <w:r>
        <w:t>Financování krizového řízení na úrovni obce</w:t>
      </w:r>
      <w:bookmarkEnd w:id="8"/>
    </w:p>
    <w:p w:rsidR="00636A7E" w:rsidRDefault="00636A7E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36A7E">
        <w:rPr>
          <w:rFonts w:ascii="Arial" w:hAnsi="Arial" w:cs="Arial"/>
          <w:sz w:val="26"/>
          <w:szCs w:val="26"/>
        </w:rPr>
        <w:t>Základními chráněnými zájmy rozumíme především lidský život, zdraví</w:t>
      </w:r>
      <w:r w:rsidR="0099770E">
        <w:rPr>
          <w:rFonts w:ascii="Arial" w:hAnsi="Arial" w:cs="Arial"/>
          <w:sz w:val="26"/>
          <w:szCs w:val="26"/>
        </w:rPr>
        <w:t xml:space="preserve">, </w:t>
      </w:r>
      <w:r w:rsidRPr="00636A7E">
        <w:rPr>
          <w:rFonts w:ascii="Arial" w:hAnsi="Arial" w:cs="Arial"/>
          <w:sz w:val="26"/>
          <w:szCs w:val="26"/>
        </w:rPr>
        <w:t>bezpečí lidí, majetek</w:t>
      </w:r>
      <w:r w:rsidR="0099770E">
        <w:rPr>
          <w:rFonts w:ascii="Arial" w:hAnsi="Arial" w:cs="Arial"/>
          <w:sz w:val="26"/>
          <w:szCs w:val="26"/>
        </w:rPr>
        <w:t>,</w:t>
      </w:r>
      <w:r w:rsidRPr="00636A7E">
        <w:rPr>
          <w:rFonts w:ascii="Arial" w:hAnsi="Arial" w:cs="Arial"/>
          <w:sz w:val="26"/>
          <w:szCs w:val="26"/>
        </w:rPr>
        <w:t xml:space="preserve"> veřejné blaho, životní prostředí</w:t>
      </w:r>
      <w:r w:rsidR="0099770E">
        <w:rPr>
          <w:rFonts w:ascii="Arial" w:hAnsi="Arial" w:cs="Arial"/>
          <w:sz w:val="26"/>
          <w:szCs w:val="26"/>
        </w:rPr>
        <w:t>,</w:t>
      </w:r>
      <w:r w:rsidRPr="00636A7E">
        <w:rPr>
          <w:rFonts w:ascii="Arial" w:hAnsi="Arial" w:cs="Arial"/>
          <w:sz w:val="26"/>
          <w:szCs w:val="26"/>
        </w:rPr>
        <w:t xml:space="preserve"> infrastruktury</w:t>
      </w:r>
      <w:r w:rsidR="00D10871">
        <w:rPr>
          <w:rFonts w:ascii="Arial" w:hAnsi="Arial" w:cs="Arial"/>
          <w:sz w:val="26"/>
          <w:szCs w:val="26"/>
        </w:rPr>
        <w:br/>
      </w:r>
      <w:r w:rsidRPr="00636A7E">
        <w:rPr>
          <w:rFonts w:ascii="Arial" w:hAnsi="Arial" w:cs="Arial"/>
          <w:sz w:val="26"/>
          <w:szCs w:val="26"/>
        </w:rPr>
        <w:t xml:space="preserve">a technologie. </w:t>
      </w:r>
      <w:r w:rsidR="0099770E">
        <w:rPr>
          <w:rFonts w:ascii="Arial" w:hAnsi="Arial" w:cs="Arial"/>
          <w:sz w:val="26"/>
          <w:szCs w:val="26"/>
        </w:rPr>
        <w:t>J</w:t>
      </w:r>
      <w:r w:rsidR="00766690">
        <w:rPr>
          <w:rFonts w:ascii="Arial" w:hAnsi="Arial" w:cs="Arial"/>
          <w:sz w:val="26"/>
          <w:szCs w:val="26"/>
        </w:rPr>
        <w:t xml:space="preserve">ednou ze základních povinností vlastníka hospodařícího s veřejným majetkem je starat se o něj s péčí řádného hospodáře, </w:t>
      </w:r>
      <w:r w:rsidR="0099770E">
        <w:rPr>
          <w:rFonts w:ascii="Arial" w:hAnsi="Arial" w:cs="Arial"/>
          <w:sz w:val="26"/>
          <w:szCs w:val="26"/>
        </w:rPr>
        <w:t>chránit jej</w:t>
      </w:r>
      <w:r w:rsidR="00D10871">
        <w:rPr>
          <w:rFonts w:ascii="Arial" w:hAnsi="Arial" w:cs="Arial"/>
          <w:sz w:val="26"/>
          <w:szCs w:val="26"/>
        </w:rPr>
        <w:br/>
      </w:r>
      <w:r w:rsidR="0099770E">
        <w:rPr>
          <w:rFonts w:ascii="Arial" w:hAnsi="Arial" w:cs="Arial"/>
          <w:sz w:val="26"/>
          <w:szCs w:val="26"/>
        </w:rPr>
        <w:t xml:space="preserve">a </w:t>
      </w:r>
      <w:r w:rsidR="00766690">
        <w:rPr>
          <w:rFonts w:ascii="Arial" w:hAnsi="Arial" w:cs="Arial"/>
          <w:sz w:val="26"/>
          <w:szCs w:val="26"/>
        </w:rPr>
        <w:t xml:space="preserve">pečovat o jeho rozvoj </w:t>
      </w:r>
      <w:r w:rsidR="0099770E">
        <w:rPr>
          <w:rFonts w:ascii="Arial" w:hAnsi="Arial" w:cs="Arial"/>
          <w:sz w:val="26"/>
          <w:szCs w:val="26"/>
        </w:rPr>
        <w:t>při dodržení</w:t>
      </w:r>
      <w:r w:rsidR="00766690">
        <w:rPr>
          <w:rFonts w:ascii="Arial" w:hAnsi="Arial" w:cs="Arial"/>
          <w:sz w:val="26"/>
          <w:szCs w:val="26"/>
        </w:rPr>
        <w:t xml:space="preserve"> </w:t>
      </w:r>
      <w:r w:rsidR="0099770E">
        <w:rPr>
          <w:rFonts w:ascii="Arial" w:hAnsi="Arial" w:cs="Arial"/>
          <w:sz w:val="26"/>
          <w:szCs w:val="26"/>
        </w:rPr>
        <w:t>principu hospodárnosti. Proto je v zájmu každého vlastníka použít všechny nástroje, které jsou v souladu s platnou legislativou, využitelné. Poněvadž mimořádné události jsou nedílnou součástí existence Země</w:t>
      </w:r>
      <w:r w:rsidR="00990682">
        <w:rPr>
          <w:rFonts w:ascii="Arial" w:hAnsi="Arial" w:cs="Arial"/>
          <w:sz w:val="26"/>
          <w:szCs w:val="26"/>
        </w:rPr>
        <w:t>,</w:t>
      </w:r>
      <w:r w:rsidR="0099770E">
        <w:rPr>
          <w:rFonts w:ascii="Arial" w:hAnsi="Arial" w:cs="Arial"/>
          <w:sz w:val="26"/>
          <w:szCs w:val="26"/>
        </w:rPr>
        <w:t xml:space="preserve"> a to jak mimořádné situace přírodního charakteru (biotické</w:t>
      </w:r>
      <w:r w:rsidR="00D10871">
        <w:rPr>
          <w:rFonts w:ascii="Arial" w:hAnsi="Arial" w:cs="Arial"/>
          <w:sz w:val="26"/>
          <w:szCs w:val="26"/>
        </w:rPr>
        <w:br/>
      </w:r>
      <w:r w:rsidR="0099770E">
        <w:rPr>
          <w:rFonts w:ascii="Arial" w:hAnsi="Arial" w:cs="Arial"/>
          <w:sz w:val="26"/>
          <w:szCs w:val="26"/>
        </w:rPr>
        <w:t>i abiotické), tak mimořádné situace antropogenního charakteru (technogenní, agrogenní a sociogenní)</w:t>
      </w:r>
      <w:r w:rsidR="00990682">
        <w:rPr>
          <w:rFonts w:ascii="Arial" w:hAnsi="Arial" w:cs="Arial"/>
          <w:sz w:val="26"/>
          <w:szCs w:val="26"/>
        </w:rPr>
        <w:t>,</w:t>
      </w:r>
      <w:r w:rsidR="0099770E">
        <w:rPr>
          <w:rFonts w:ascii="Arial" w:hAnsi="Arial" w:cs="Arial"/>
          <w:sz w:val="26"/>
          <w:szCs w:val="26"/>
        </w:rPr>
        <w:t xml:space="preserve"> je třeba s nimi počítat a být na ně připraven</w:t>
      </w:r>
      <w:r w:rsidR="00990682">
        <w:rPr>
          <w:rFonts w:ascii="Arial" w:hAnsi="Arial" w:cs="Arial"/>
          <w:sz w:val="26"/>
          <w:szCs w:val="26"/>
        </w:rPr>
        <w:t>i</w:t>
      </w:r>
      <w:r w:rsidR="0099770E">
        <w:rPr>
          <w:rFonts w:ascii="Arial" w:hAnsi="Arial" w:cs="Arial"/>
          <w:sz w:val="26"/>
          <w:szCs w:val="26"/>
        </w:rPr>
        <w:t>. Obecně mimořádnou situací je každé škodlivé působení sil a jevů vyvolaných činností člověka, přírodními vlivy a také havárie, které ohrožují chráněné zájmy</w:t>
      </w:r>
      <w:r w:rsidR="00D10871">
        <w:rPr>
          <w:rFonts w:ascii="Arial" w:hAnsi="Arial" w:cs="Arial"/>
          <w:sz w:val="26"/>
          <w:szCs w:val="26"/>
        </w:rPr>
        <w:br/>
      </w:r>
      <w:r w:rsidR="0099770E">
        <w:rPr>
          <w:rFonts w:ascii="Arial" w:hAnsi="Arial" w:cs="Arial"/>
          <w:sz w:val="26"/>
          <w:szCs w:val="26"/>
        </w:rPr>
        <w:t xml:space="preserve">a vyžadují provedení záchranných a likvidačních prací. </w:t>
      </w:r>
    </w:p>
    <w:p w:rsidR="0099770E" w:rsidRPr="00636A7E" w:rsidRDefault="00C228AE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36A7E">
        <w:rPr>
          <w:rFonts w:ascii="Arial" w:hAnsi="Arial" w:cs="Arial"/>
          <w:sz w:val="26"/>
          <w:szCs w:val="26"/>
        </w:rPr>
        <w:t xml:space="preserve">Při řešení mimořádných událostí </w:t>
      </w:r>
      <w:r w:rsidR="00210831">
        <w:rPr>
          <w:rFonts w:ascii="Arial" w:hAnsi="Arial" w:cs="Arial"/>
          <w:sz w:val="26"/>
          <w:szCs w:val="26"/>
        </w:rPr>
        <w:t>platí, že události</w:t>
      </w:r>
      <w:r w:rsidRPr="00636A7E">
        <w:rPr>
          <w:rFonts w:ascii="Arial" w:hAnsi="Arial" w:cs="Arial"/>
          <w:sz w:val="26"/>
          <w:szCs w:val="26"/>
        </w:rPr>
        <w:t xml:space="preserve"> místního rozsahu</w:t>
      </w:r>
      <w:r w:rsidR="00D10871"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 xml:space="preserve">s </w:t>
      </w:r>
      <w:r w:rsidRPr="00636A7E">
        <w:rPr>
          <w:rFonts w:ascii="Arial" w:hAnsi="Arial" w:cs="Arial"/>
          <w:sz w:val="26"/>
          <w:szCs w:val="26"/>
        </w:rPr>
        <w:t>menším rozsah</w:t>
      </w:r>
      <w:r>
        <w:rPr>
          <w:rFonts w:ascii="Arial" w:hAnsi="Arial" w:cs="Arial"/>
          <w:sz w:val="26"/>
          <w:szCs w:val="26"/>
        </w:rPr>
        <w:t>em</w:t>
      </w:r>
      <w:r w:rsidRPr="00636A7E">
        <w:rPr>
          <w:rFonts w:ascii="Arial" w:hAnsi="Arial" w:cs="Arial"/>
          <w:sz w:val="26"/>
          <w:szCs w:val="26"/>
        </w:rPr>
        <w:t xml:space="preserve"> škod, jako jsou požáry, nehody, místní záplavy</w:t>
      </w:r>
      <w:r w:rsidR="00D10871">
        <w:rPr>
          <w:rFonts w:ascii="Arial" w:hAnsi="Arial" w:cs="Arial"/>
          <w:sz w:val="26"/>
          <w:szCs w:val="26"/>
        </w:rPr>
        <w:br/>
      </w:r>
      <w:r w:rsidRPr="00636A7E">
        <w:rPr>
          <w:rFonts w:ascii="Arial" w:hAnsi="Arial" w:cs="Arial"/>
          <w:sz w:val="26"/>
          <w:szCs w:val="26"/>
        </w:rPr>
        <w:t xml:space="preserve">a podobně primárně řeší orgány obce a místními složkami IZS. V těchto případech se setkáváme s kombinací zásahu složek řízených oběma úrovněmi </w:t>
      </w:r>
      <w:r w:rsidR="00210831">
        <w:rPr>
          <w:rFonts w:ascii="Arial" w:hAnsi="Arial" w:cs="Arial"/>
          <w:sz w:val="26"/>
          <w:szCs w:val="26"/>
        </w:rPr>
        <w:t>bezpečnostního</w:t>
      </w:r>
      <w:r w:rsidRPr="00636A7E">
        <w:rPr>
          <w:rFonts w:ascii="Arial" w:hAnsi="Arial" w:cs="Arial"/>
          <w:sz w:val="26"/>
          <w:szCs w:val="26"/>
        </w:rPr>
        <w:t xml:space="preserve"> řízení. Územní samosprávou</w:t>
      </w:r>
      <w:r w:rsidR="00210831">
        <w:rPr>
          <w:rFonts w:ascii="Arial" w:hAnsi="Arial" w:cs="Arial"/>
          <w:sz w:val="26"/>
          <w:szCs w:val="26"/>
        </w:rPr>
        <w:t xml:space="preserve">, jako je </w:t>
      </w:r>
      <w:r w:rsidRPr="00636A7E">
        <w:rPr>
          <w:rFonts w:ascii="Arial" w:hAnsi="Arial" w:cs="Arial"/>
          <w:sz w:val="26"/>
          <w:szCs w:val="26"/>
        </w:rPr>
        <w:t>obecní policie, zdravotníci, jed</w:t>
      </w:r>
      <w:r w:rsidR="00210831">
        <w:rPr>
          <w:rFonts w:ascii="Arial" w:hAnsi="Arial" w:cs="Arial"/>
          <w:sz w:val="26"/>
          <w:szCs w:val="26"/>
        </w:rPr>
        <w:t>notky sboru dobrovolných hasičů,</w:t>
      </w:r>
      <w:r w:rsidRPr="00636A7E">
        <w:rPr>
          <w:rFonts w:ascii="Arial" w:hAnsi="Arial" w:cs="Arial"/>
          <w:sz w:val="26"/>
          <w:szCs w:val="26"/>
        </w:rPr>
        <w:t xml:space="preserve"> a státní správou, r</w:t>
      </w:r>
      <w:r w:rsidR="00990682">
        <w:rPr>
          <w:rFonts w:ascii="Arial" w:hAnsi="Arial" w:cs="Arial"/>
          <w:sz w:val="26"/>
          <w:szCs w:val="26"/>
        </w:rPr>
        <w:t>esp. státem (PČR, HZS ČR, AČR</w:t>
      </w:r>
      <w:r w:rsidRPr="00636A7E">
        <w:rPr>
          <w:rFonts w:ascii="Arial" w:hAnsi="Arial" w:cs="Arial"/>
          <w:sz w:val="26"/>
          <w:szCs w:val="26"/>
        </w:rPr>
        <w:t>).</w:t>
      </w:r>
    </w:p>
    <w:p w:rsidR="008B115B" w:rsidRDefault="00C228AE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36A7E">
        <w:rPr>
          <w:rFonts w:ascii="Arial" w:hAnsi="Arial" w:cs="Arial"/>
          <w:sz w:val="26"/>
          <w:szCs w:val="26"/>
        </w:rPr>
        <w:lastRenderedPageBreak/>
        <w:t xml:space="preserve">Krizové řízení na úrovni obce, včetně potřebných opatření, je financováno z příspěvku na výkon státní správy v přenesené působnosti v souladu s § 7 a 9 zákona č. 250/2000 Sb., o rozpočtových pravidlech územních rozpočtů, z dotací krajů (viz § 10 zákona téhož zákona) a zejména z vlastních zdrojů obce. </w:t>
      </w:r>
      <w:r w:rsidR="00382D1E">
        <w:rPr>
          <w:rFonts w:ascii="Arial" w:hAnsi="Arial" w:cs="Arial"/>
          <w:sz w:val="26"/>
          <w:szCs w:val="26"/>
        </w:rPr>
        <w:t xml:space="preserve"> </w:t>
      </w:r>
    </w:p>
    <w:p w:rsidR="00C228AE" w:rsidRPr="00636A7E" w:rsidRDefault="008B115B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36A7E">
        <w:rPr>
          <w:rFonts w:ascii="Arial" w:hAnsi="Arial" w:cs="Arial"/>
          <w:sz w:val="26"/>
          <w:szCs w:val="26"/>
        </w:rPr>
        <w:t xml:space="preserve">Podle </w:t>
      </w:r>
      <w:r>
        <w:rPr>
          <w:rFonts w:ascii="Arial" w:hAnsi="Arial" w:cs="Arial"/>
          <w:sz w:val="26"/>
          <w:szCs w:val="26"/>
        </w:rPr>
        <w:t xml:space="preserve">krizového </w:t>
      </w:r>
      <w:r w:rsidRPr="00636A7E">
        <w:rPr>
          <w:rFonts w:ascii="Arial" w:hAnsi="Arial" w:cs="Arial"/>
          <w:sz w:val="26"/>
          <w:szCs w:val="26"/>
        </w:rPr>
        <w:t>zákona náklady vynaložené na provedení krizových opatření stanovených obcí uhrazuje obec z obecního rozpočtu.</w:t>
      </w:r>
      <w:r>
        <w:rPr>
          <w:rFonts w:ascii="Arial" w:hAnsi="Arial" w:cs="Arial"/>
          <w:sz w:val="26"/>
          <w:szCs w:val="26"/>
        </w:rPr>
        <w:t xml:space="preserve"> </w:t>
      </w:r>
      <w:r w:rsidR="00382D1E">
        <w:rPr>
          <w:rFonts w:ascii="Arial" w:hAnsi="Arial" w:cs="Arial"/>
          <w:sz w:val="26"/>
          <w:szCs w:val="26"/>
        </w:rPr>
        <w:t>Při finančním vypořádání následků mimořádných událostí je možné využít i účelovou rezervu z rozpočtové kapitoly Všeobecná pokladní správa, která v sobě zahrnuje částku jak na řešení mimořádných událostí dle zákona č. 239/2000 Sb., o integrovaném záchranném systému, tak i dle zákona č. 240/2000 Sb., krizového zákona. Dále je možné využít finanční prostředky alokované ve vládní rozpočtové rezervě, která činí ve státním rozpočtu minimálně 0,3% všech výdajů státního rozpočtu na příslušný rok. V případech velmi vysokých škod, se kterými jsme se mohli setkat například při povodních v roce 1997 a</w:t>
      </w:r>
      <w:r w:rsidR="002D5E2B">
        <w:rPr>
          <w:rFonts w:ascii="Arial" w:hAnsi="Arial" w:cs="Arial"/>
          <w:sz w:val="26"/>
          <w:szCs w:val="26"/>
        </w:rPr>
        <w:t> </w:t>
      </w:r>
      <w:r w:rsidR="00382D1E">
        <w:rPr>
          <w:rFonts w:ascii="Arial" w:hAnsi="Arial" w:cs="Arial"/>
          <w:sz w:val="26"/>
          <w:szCs w:val="26"/>
        </w:rPr>
        <w:t>2003 byly použity i prostředky realokovan</w:t>
      </w:r>
      <w:r w:rsidR="000B668E">
        <w:rPr>
          <w:rFonts w:ascii="Arial" w:hAnsi="Arial" w:cs="Arial"/>
          <w:sz w:val="26"/>
          <w:szCs w:val="26"/>
        </w:rPr>
        <w:t>é z jiných rozpočtových kapitol</w:t>
      </w:r>
      <w:r>
        <w:rPr>
          <w:rFonts w:ascii="Arial" w:hAnsi="Arial" w:cs="Arial"/>
          <w:sz w:val="26"/>
          <w:szCs w:val="26"/>
        </w:rPr>
        <w:t>, například</w:t>
      </w:r>
      <w:r w:rsidR="000B668E">
        <w:rPr>
          <w:rFonts w:ascii="Arial" w:hAnsi="Arial" w:cs="Arial"/>
          <w:sz w:val="26"/>
          <w:szCs w:val="26"/>
        </w:rPr>
        <w:t xml:space="preserve"> jednotlivých ministerstev.</w:t>
      </w:r>
    </w:p>
    <w:p w:rsidR="00142AA7" w:rsidRDefault="008B115B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Podle zákona č. 12/2002 Sb. lze f</w:t>
      </w:r>
      <w:r w:rsidR="002367ED" w:rsidRPr="00636A7E">
        <w:rPr>
          <w:rFonts w:ascii="Arial" w:hAnsi="Arial" w:cs="Arial"/>
          <w:sz w:val="26"/>
          <w:szCs w:val="26"/>
        </w:rPr>
        <w:t>yzickým osobám</w:t>
      </w:r>
      <w:r>
        <w:rPr>
          <w:rFonts w:ascii="Arial" w:hAnsi="Arial" w:cs="Arial"/>
          <w:sz w:val="26"/>
          <w:szCs w:val="26"/>
        </w:rPr>
        <w:t>, právnickým osobám</w:t>
      </w:r>
      <w:r w:rsidR="002367ED" w:rsidRPr="00636A7E">
        <w:rPr>
          <w:rFonts w:ascii="Arial" w:hAnsi="Arial" w:cs="Arial"/>
          <w:sz w:val="26"/>
          <w:szCs w:val="26"/>
        </w:rPr>
        <w:t xml:space="preserve"> a obcím</w:t>
      </w:r>
      <w:r>
        <w:rPr>
          <w:rFonts w:ascii="Arial" w:hAnsi="Arial" w:cs="Arial"/>
          <w:sz w:val="26"/>
          <w:szCs w:val="26"/>
        </w:rPr>
        <w:t xml:space="preserve"> nehospodařícím se státním majetkem</w:t>
      </w:r>
      <w:r w:rsidR="002367ED" w:rsidRPr="00636A7E">
        <w:rPr>
          <w:rFonts w:ascii="Arial" w:hAnsi="Arial" w:cs="Arial"/>
          <w:sz w:val="26"/>
          <w:szCs w:val="26"/>
        </w:rPr>
        <w:t>, které se při krizové situaci z důvodu havárie nebo živelní pohromy přechodně ocitly v mimořádně obtížných poměrech, poskytnout státní podporu. Státní podpora může být poskytována ze státního rozpočtu ve formě jednorázových peněžitých dávek fyzickým osobám nebo jinou mimořádnou formou finanční pomoci fyzickým osobám a obcím. Jednorázové peněžité dávky fyzickým osobám vyplácejí místně příslušné pověřené obecní úřady podle zvláštních právních předpisů z neinvestiční účelové dotace na sociální dávky, kterou obdrží v rámci souhrnného finančního vztahu státního rozpočtu k rozpočtům obcí na příslušný rozpočtový rok.</w:t>
      </w:r>
    </w:p>
    <w:p w:rsidR="00A17B02" w:rsidRDefault="00A17B02" w:rsidP="002D5E2B">
      <w:pPr>
        <w:pStyle w:val="Nadpis1"/>
        <w:numPr>
          <w:ilvl w:val="0"/>
          <w:numId w:val="5"/>
        </w:numPr>
        <w:spacing w:line="360" w:lineRule="auto"/>
      </w:pPr>
      <w:bookmarkStart w:id="9" w:name="_Toc224313243"/>
      <w:r>
        <w:lastRenderedPageBreak/>
        <w:t>Pojištění majetku ve vlastnictví obce</w:t>
      </w:r>
      <w:bookmarkEnd w:id="9"/>
    </w:p>
    <w:p w:rsidR="00D9465F" w:rsidRDefault="00D9465F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36A7E">
        <w:rPr>
          <w:rFonts w:ascii="Arial" w:hAnsi="Arial" w:cs="Arial"/>
          <w:sz w:val="26"/>
          <w:szCs w:val="26"/>
        </w:rPr>
        <w:t xml:space="preserve">Do přípravy na mimořádné události a krizové situace je možné zařadit organizační pokyny, plánování zdrojů, plánování rozmístění jednotek složek IZS a pojištění. </w:t>
      </w:r>
      <w:r w:rsidR="008B115B">
        <w:rPr>
          <w:rFonts w:ascii="Arial" w:hAnsi="Arial" w:cs="Arial"/>
          <w:sz w:val="26"/>
          <w:szCs w:val="26"/>
        </w:rPr>
        <w:t>Pojištěním se rozumí</w:t>
      </w:r>
      <w:r w:rsidR="00247D1F">
        <w:rPr>
          <w:rFonts w:ascii="Arial" w:hAnsi="Arial" w:cs="Arial"/>
          <w:sz w:val="26"/>
          <w:szCs w:val="26"/>
        </w:rPr>
        <w:t xml:space="preserve"> provozování pojišťovací činnosti v souladu se zákonem č. 363/1999 Sb., o pojišťovnictví. Tedy uzavírání pojistných smluv pojišťovnou a poskytování plnění z těchto smluv vyplývajícího a další související činnosti. Pojišťovnou může být právnická osoba, které Česká národní banka udělila povolení k provozování pojišťovací činnosti a nad kterou vykonává dozor.</w:t>
      </w:r>
    </w:p>
    <w:p w:rsidR="00247D1F" w:rsidRDefault="00247D1F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Pojistná smlouva je uzavírána mezi pojistníkem, osobou uzavírající pojistnou smlouvu a pojišťovnou ke krytí škod z pojistných rizik. Pojistným rizikem se vyjadřuje míra pravděpodobnosti vzniku pojistné události vyvolané pojistným nebezpečím. Každý, kdo uzavírá smlouvu s pojišťovnou by si měl řádně přečíst všeobecné smluvní podmínky, které vymezují události, ze kterých vzniká právo na plnění pojistitele, rozsah a splatnost pojistného plnění. Všeobecné smluvní podmínky dále upravují způsob placení pojistného, určení jeho výše, popřípadě spoluúčasti pojistníka na plnění.</w:t>
      </w:r>
    </w:p>
    <w:p w:rsidR="00F1199A" w:rsidRDefault="00247D1F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Zákon č. 12/2002 Sb., o státní pomoci </w:t>
      </w:r>
      <w:r w:rsidR="00F1199A">
        <w:rPr>
          <w:rFonts w:ascii="Arial" w:hAnsi="Arial" w:cs="Arial"/>
          <w:sz w:val="26"/>
          <w:szCs w:val="26"/>
        </w:rPr>
        <w:t xml:space="preserve">při obnově území </w:t>
      </w:r>
      <w:r>
        <w:rPr>
          <w:rFonts w:ascii="Arial" w:hAnsi="Arial" w:cs="Arial"/>
          <w:sz w:val="26"/>
          <w:szCs w:val="26"/>
        </w:rPr>
        <w:t>stanovil v § 39a zákona o pojišťovnictví pojišťovnám informační povinnost v případech, kdy došlo k živelní nebo jiné pohromě, která si vyžádala vyhlášení stavu nebezpečí nebo nouzového stavu podle krizového zákona</w:t>
      </w:r>
      <w:r w:rsidR="00F1199A">
        <w:rPr>
          <w:rFonts w:ascii="Arial" w:hAnsi="Arial" w:cs="Arial"/>
          <w:sz w:val="26"/>
          <w:szCs w:val="26"/>
        </w:rPr>
        <w:t>, vůči Ministerstvu pro místní rozvoj. Na základě jeho písemné žádosti je pojišťovna povinna poskytnout souhrnné informace o počtu a výši nahlášených škod a o výši vyplacených pojistných plnění za škody způsobené na majetku.</w:t>
      </w:r>
    </w:p>
    <w:p w:rsidR="00BD13F9" w:rsidRPr="00636A7E" w:rsidRDefault="00F1199A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Většina pojišťoven má pro územně samosprávné celky připraveny speciální pojistné programy. </w:t>
      </w:r>
      <w:r w:rsidRPr="00636A7E">
        <w:rPr>
          <w:rFonts w:ascii="Arial" w:hAnsi="Arial" w:cs="Arial"/>
          <w:sz w:val="26"/>
          <w:szCs w:val="26"/>
        </w:rPr>
        <w:t xml:space="preserve">Česká pojišťovna </w:t>
      </w:r>
      <w:r w:rsidR="00AC2ADC">
        <w:rPr>
          <w:rFonts w:ascii="Arial" w:hAnsi="Arial" w:cs="Arial"/>
          <w:sz w:val="26"/>
          <w:szCs w:val="26"/>
        </w:rPr>
        <w:t xml:space="preserve">a.s. </w:t>
      </w:r>
      <w:r w:rsidRPr="00636A7E">
        <w:rPr>
          <w:rFonts w:ascii="Arial" w:hAnsi="Arial" w:cs="Arial"/>
          <w:sz w:val="26"/>
          <w:szCs w:val="26"/>
        </w:rPr>
        <w:t>nabízí krajům, městům, městysům, obcím a organizacím</w:t>
      </w:r>
      <w:r>
        <w:rPr>
          <w:rFonts w:ascii="Arial" w:hAnsi="Arial" w:cs="Arial"/>
          <w:sz w:val="26"/>
          <w:szCs w:val="26"/>
        </w:rPr>
        <w:t>, které založily,</w:t>
      </w:r>
      <w:r w:rsidRPr="00636A7E">
        <w:rPr>
          <w:rFonts w:ascii="Arial" w:hAnsi="Arial" w:cs="Arial"/>
          <w:sz w:val="26"/>
          <w:szCs w:val="26"/>
        </w:rPr>
        <w:t xml:space="preserve"> komplexní program pojistné ochrany, zahrnující pojištění </w:t>
      </w:r>
      <w:r>
        <w:rPr>
          <w:rFonts w:ascii="Arial" w:hAnsi="Arial" w:cs="Arial"/>
          <w:sz w:val="26"/>
          <w:szCs w:val="26"/>
        </w:rPr>
        <w:t xml:space="preserve">nemovitého a movitého </w:t>
      </w:r>
      <w:r w:rsidRPr="00636A7E">
        <w:rPr>
          <w:rFonts w:ascii="Arial" w:hAnsi="Arial" w:cs="Arial"/>
          <w:sz w:val="26"/>
          <w:szCs w:val="26"/>
        </w:rPr>
        <w:t>majetku a odpovědnosti za škodu</w:t>
      </w:r>
      <w:r w:rsidR="00AC2ADC">
        <w:rPr>
          <w:rFonts w:ascii="Arial" w:hAnsi="Arial" w:cs="Arial"/>
          <w:sz w:val="26"/>
          <w:szCs w:val="26"/>
        </w:rPr>
        <w:t>, která vyplývá ze zákonů o obecním a krajském zřízení.</w:t>
      </w:r>
      <w:r>
        <w:rPr>
          <w:rStyle w:val="Znakapoznpodarou"/>
          <w:rFonts w:ascii="Arial" w:hAnsi="Arial" w:cs="Arial"/>
          <w:sz w:val="26"/>
          <w:szCs w:val="26"/>
        </w:rPr>
        <w:footnoteReference w:id="1"/>
      </w:r>
      <w:r w:rsidR="00AC2ADC">
        <w:rPr>
          <w:rFonts w:ascii="Arial" w:hAnsi="Arial" w:cs="Arial"/>
          <w:sz w:val="26"/>
          <w:szCs w:val="26"/>
        </w:rPr>
        <w:t xml:space="preserve"> Pojištění je </w:t>
      </w:r>
      <w:r w:rsidR="00AC2ADC">
        <w:rPr>
          <w:rFonts w:ascii="Arial" w:hAnsi="Arial" w:cs="Arial"/>
          <w:sz w:val="26"/>
          <w:szCs w:val="26"/>
        </w:rPr>
        <w:lastRenderedPageBreak/>
        <w:t xml:space="preserve">stavěno na dvě základní rizika a to požár a vichřici. Další pojišťovnou, která nabízí speciální program pro územně samosprávné celky je Kooperativa, pojišťovna a.s. </w:t>
      </w:r>
      <w:r w:rsidR="00990682">
        <w:rPr>
          <w:rFonts w:ascii="Arial" w:hAnsi="Arial" w:cs="Arial"/>
          <w:sz w:val="26"/>
          <w:szCs w:val="26"/>
        </w:rPr>
        <w:t>V p</w:t>
      </w:r>
      <w:r w:rsidR="00AC2ADC">
        <w:rPr>
          <w:rFonts w:ascii="Arial" w:hAnsi="Arial" w:cs="Arial"/>
          <w:sz w:val="26"/>
          <w:szCs w:val="26"/>
        </w:rPr>
        <w:t>rogram</w:t>
      </w:r>
      <w:r w:rsidR="00990682">
        <w:rPr>
          <w:rFonts w:ascii="Arial" w:hAnsi="Arial" w:cs="Arial"/>
          <w:sz w:val="26"/>
          <w:szCs w:val="26"/>
        </w:rPr>
        <w:t>u</w:t>
      </w:r>
      <w:r w:rsidR="00AC2ADC">
        <w:rPr>
          <w:rFonts w:ascii="Arial" w:hAnsi="Arial" w:cs="Arial"/>
          <w:sz w:val="26"/>
          <w:szCs w:val="26"/>
        </w:rPr>
        <w:t xml:space="preserve"> pro pojištění měst a obcí nabízí nejen pojištění movitých i nemovitých věcí ve vlastnictví obce, ale i pojištění cizích věcí, které obec užívá. Samozřejmostí je i pojištění odpovědnosti za škodu způsobenou třetím osobám. V tomto konkrétním programu je možné pojistit poškození nebo zničení věcí požárem, výbuchem, úderem blesku, </w:t>
      </w:r>
      <w:r w:rsidR="00AC2ADC" w:rsidRPr="00636A7E">
        <w:rPr>
          <w:rFonts w:ascii="Arial" w:hAnsi="Arial" w:cs="Arial"/>
          <w:sz w:val="26"/>
          <w:szCs w:val="26"/>
        </w:rPr>
        <w:t>nárazem nebo zřícením letadla, pádem předmětů, povodní nebo záplavou, vichřicí nebo krupobitím, sesuvem půdy, zřícením skal, zemin nebo lavin, zemětřesením, kapalinou unikající z vodovodního zařízení</w:t>
      </w:r>
      <w:r w:rsidR="00AC2ADC">
        <w:rPr>
          <w:rFonts w:ascii="Arial" w:hAnsi="Arial" w:cs="Arial"/>
          <w:sz w:val="26"/>
          <w:szCs w:val="26"/>
        </w:rPr>
        <w:t xml:space="preserve"> a nárazem dopravního prostředku. Tato pojišťovna nabízí i pojištění poškození nebo zničení elektronického zařízení, strojů, přerušení nebo omezení provozu z důvodu požáru a další. Má-li obec pojištěné obecní bytové domy</w:t>
      </w:r>
      <w:r w:rsidR="00756CF8">
        <w:rPr>
          <w:rFonts w:ascii="Arial" w:hAnsi="Arial" w:cs="Arial"/>
          <w:sz w:val="26"/>
          <w:szCs w:val="26"/>
        </w:rPr>
        <w:t>, je v případě pojistné události hrazeno pojištění nákladů na náhradní ubytování.</w:t>
      </w:r>
    </w:p>
    <w:p w:rsidR="00A17B02" w:rsidRDefault="00A17B02" w:rsidP="002D5E2B">
      <w:pPr>
        <w:pStyle w:val="Nadpis1"/>
        <w:numPr>
          <w:ilvl w:val="0"/>
          <w:numId w:val="5"/>
        </w:numPr>
        <w:spacing w:line="360" w:lineRule="auto"/>
      </w:pPr>
      <w:bookmarkStart w:id="10" w:name="_Toc224313244"/>
      <w:r>
        <w:t>Empirické zjištění stavu pojištění vybrané obce</w:t>
      </w:r>
      <w:bookmarkEnd w:id="10"/>
    </w:p>
    <w:p w:rsidR="00A91296" w:rsidRDefault="00A91296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Zadáním této práce bylo empirické zjištění stavu pojištění vybrané obce či městské části, její připravenosti na mimořádné události a zmapování způsobu komunikace mezi tímto územním celkem a pojišťovnou. Řepy, které jsou katastrálním územím hlavního města Prahy</w:t>
      </w:r>
      <w:r w:rsidR="00990682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tvoří území městské části Praha 17 v městském obvodu Prahy 6. Leží na západní straně města, severně od sjezdu z dálnice D5 z Plzně do Prahy. Úřad městské části Praha 17 je pověřen výkonem rozšířené působnosti státní správ i pro území městské části Praha </w:t>
      </w:r>
      <w:r w:rsidR="00990682">
        <w:rPr>
          <w:rFonts w:ascii="Arial" w:hAnsi="Arial" w:cs="Arial"/>
          <w:sz w:val="26"/>
          <w:szCs w:val="26"/>
        </w:rPr>
        <w:t xml:space="preserve">- </w:t>
      </w:r>
      <w:r>
        <w:rPr>
          <w:rFonts w:ascii="Arial" w:hAnsi="Arial" w:cs="Arial"/>
          <w:sz w:val="26"/>
          <w:szCs w:val="26"/>
        </w:rPr>
        <w:t xml:space="preserve">Zličín, která leží v městském obvodě Prahy 5. Správní obvod tedy zasahuje do dvou městských částí. Rozloha Řep činí téměř 1010 ha, na kterých žije </w:t>
      </w:r>
      <w:r w:rsidR="00685180">
        <w:rPr>
          <w:rFonts w:ascii="Arial" w:hAnsi="Arial" w:cs="Arial"/>
          <w:sz w:val="26"/>
          <w:szCs w:val="26"/>
        </w:rPr>
        <w:t xml:space="preserve">téměř 29 tis. obyvatel. Z abiotických rizik, ohrožujících tuto městkou část přicházejí v úvahu pouze požár a povětrnostní vlivy, tedy pravděpodobnost vzniku orkánu či vichřice a s tím spojené škody na životech, zdraví a majetku. S ohledem na blízkost letiště Ruzyně by mohlo být zohledněno i riziko spojené s pádem letadla. </w:t>
      </w:r>
    </w:p>
    <w:p w:rsidR="00BD13F9" w:rsidRDefault="00685180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Dotazováním na Úřadu m</w:t>
      </w:r>
      <w:r w:rsidR="00F1199A" w:rsidRPr="00636A7E">
        <w:rPr>
          <w:rFonts w:ascii="Arial" w:hAnsi="Arial" w:cs="Arial"/>
          <w:sz w:val="26"/>
          <w:szCs w:val="26"/>
        </w:rPr>
        <w:t>ěstská část Praha 17 – Řepy</w:t>
      </w:r>
      <w:r>
        <w:rPr>
          <w:rFonts w:ascii="Arial" w:hAnsi="Arial" w:cs="Arial"/>
          <w:sz w:val="26"/>
          <w:szCs w:val="26"/>
        </w:rPr>
        <w:t xml:space="preserve"> bylo zjištěno, že městská část v rámci připravenosti na mimořádné situace oslovila obě výše zmiňované pojišťovny. Po vypracování návrhů pojištění</w:t>
      </w:r>
      <w:r w:rsidR="00A431F2">
        <w:rPr>
          <w:rFonts w:ascii="Arial" w:hAnsi="Arial" w:cs="Arial"/>
          <w:sz w:val="26"/>
          <w:szCs w:val="26"/>
        </w:rPr>
        <w:t xml:space="preserve"> a cenových</w:t>
      </w:r>
      <w:r>
        <w:rPr>
          <w:rFonts w:ascii="Arial" w:hAnsi="Arial" w:cs="Arial"/>
          <w:sz w:val="26"/>
          <w:szCs w:val="26"/>
        </w:rPr>
        <w:t xml:space="preserve"> nabíd</w:t>
      </w:r>
      <w:r w:rsidR="00A431F2">
        <w:rPr>
          <w:rFonts w:ascii="Arial" w:hAnsi="Arial" w:cs="Arial"/>
          <w:sz w:val="26"/>
          <w:szCs w:val="26"/>
        </w:rPr>
        <w:t>e</w:t>
      </w:r>
      <w:r>
        <w:rPr>
          <w:rFonts w:ascii="Arial" w:hAnsi="Arial" w:cs="Arial"/>
          <w:sz w:val="26"/>
          <w:szCs w:val="26"/>
        </w:rPr>
        <w:t xml:space="preserve">k městská část zvolila s ohledem na rozpočet nabídku Kooperativy, pojišťovny a.s. a uzavřela velmi omezenou pojistnou smlouvu pro riziko povětrnostních vlivů. Pojistila </w:t>
      </w:r>
      <w:r w:rsidR="00F1199A" w:rsidRPr="00636A7E">
        <w:rPr>
          <w:rFonts w:ascii="Arial" w:hAnsi="Arial" w:cs="Arial"/>
          <w:sz w:val="26"/>
          <w:szCs w:val="26"/>
        </w:rPr>
        <w:t xml:space="preserve">pouze objekty sloužící pro potřeby městské části. Tedy budovu úřadu, školy, školky a polikliniku. Na tyto objekty hradí částku 189000 Kč za pololetí. </w:t>
      </w:r>
      <w:r w:rsidR="00A431F2">
        <w:rPr>
          <w:rFonts w:ascii="Arial" w:hAnsi="Arial" w:cs="Arial"/>
          <w:sz w:val="26"/>
          <w:szCs w:val="26"/>
        </w:rPr>
        <w:t>Pakliže by městská část Řepy chtěla pojistit i ostatní objekty, které vlastní (bytové domy) rovnala by se roční pojistná platba téměř 1 mil. Kč, což je nad možnosti rozpočtu. Proto byla zvolena tato varianta s tím, že byty by měly být pojištěny jejich nájemníky a v případě vzniku mimořádné události, která by měla za následek škody na těchto domech, reagoval by úřad až na nastalou situaci.</w:t>
      </w:r>
    </w:p>
    <w:p w:rsidR="00A17B02" w:rsidRDefault="00A17B02" w:rsidP="002D5E2B">
      <w:pPr>
        <w:pStyle w:val="Nadpis1"/>
        <w:numPr>
          <w:ilvl w:val="0"/>
          <w:numId w:val="5"/>
        </w:numPr>
        <w:spacing w:line="360" w:lineRule="auto"/>
      </w:pPr>
      <w:bookmarkStart w:id="11" w:name="_Toc224313245"/>
      <w:r>
        <w:t>Závěr</w:t>
      </w:r>
      <w:bookmarkEnd w:id="11"/>
    </w:p>
    <w:p w:rsidR="00A431F2" w:rsidRPr="00636A7E" w:rsidRDefault="00A431F2" w:rsidP="002D5E2B">
      <w:pPr>
        <w:spacing w:before="60" w:after="6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Závěrem je nutno zmínit velmi alarmující zjištění, které vypovídá</w:t>
      </w:r>
      <w:r w:rsidR="00D10871"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 xml:space="preserve">o připravenosti obce na mimořádné události. Tím je </w:t>
      </w:r>
      <w:r w:rsidR="00337333">
        <w:rPr>
          <w:rFonts w:ascii="Arial" w:hAnsi="Arial" w:cs="Arial"/>
          <w:sz w:val="26"/>
          <w:szCs w:val="26"/>
        </w:rPr>
        <w:t>určitá</w:t>
      </w:r>
      <w:r>
        <w:rPr>
          <w:rFonts w:ascii="Arial" w:hAnsi="Arial" w:cs="Arial"/>
          <w:sz w:val="26"/>
          <w:szCs w:val="26"/>
        </w:rPr>
        <w:t xml:space="preserve"> neodbornost a neinformovanost pracovníků oddělení krizového řízení</w:t>
      </w:r>
      <w:r w:rsidR="0033733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a sdělení pracovnice mající na starosti pojištění objektů ve vlastnictví městské části, která prohlásila: „za třináct let, co tu pracuji, se nikdy nic nestalo, takže proč by se mělo něco stát teď“.  Tuto větu je možné slyšet </w:t>
      </w:r>
      <w:r w:rsidR="00337333">
        <w:rPr>
          <w:rFonts w:ascii="Arial" w:hAnsi="Arial" w:cs="Arial"/>
          <w:sz w:val="26"/>
          <w:szCs w:val="26"/>
        </w:rPr>
        <w:t>často</w:t>
      </w:r>
      <w:r>
        <w:rPr>
          <w:rFonts w:ascii="Arial" w:hAnsi="Arial" w:cs="Arial"/>
          <w:sz w:val="26"/>
          <w:szCs w:val="26"/>
        </w:rPr>
        <w:t xml:space="preserve">krát a je tedy nasnadě, aby úředníci získali alespoň minimální penzum znalostí v oboru krizového řízení. </w:t>
      </w:r>
    </w:p>
    <w:sectPr w:rsidR="00A431F2" w:rsidRPr="00636A7E" w:rsidSect="00A17B02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31E" w:rsidRDefault="0066431E">
      <w:r>
        <w:separator/>
      </w:r>
    </w:p>
  </w:endnote>
  <w:endnote w:type="continuationSeparator" w:id="0">
    <w:p w:rsidR="0066431E" w:rsidRDefault="00664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871" w:rsidRDefault="00D10871" w:rsidP="00A17B0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10871" w:rsidRDefault="00D10871" w:rsidP="00A17B02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871" w:rsidRDefault="00D10871" w:rsidP="00A17B0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A65C2">
      <w:rPr>
        <w:rStyle w:val="slostrnky"/>
        <w:noProof/>
      </w:rPr>
      <w:t>3</w:t>
    </w:r>
    <w:r>
      <w:rPr>
        <w:rStyle w:val="slostrnky"/>
      </w:rPr>
      <w:fldChar w:fldCharType="end"/>
    </w:r>
  </w:p>
  <w:p w:rsidR="00D10871" w:rsidRDefault="00D10871" w:rsidP="00A17B02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31E" w:rsidRDefault="0066431E">
      <w:r>
        <w:separator/>
      </w:r>
    </w:p>
  </w:footnote>
  <w:footnote w:type="continuationSeparator" w:id="0">
    <w:p w:rsidR="0066431E" w:rsidRDefault="0066431E">
      <w:r>
        <w:continuationSeparator/>
      </w:r>
    </w:p>
  </w:footnote>
  <w:footnote w:id="1">
    <w:p w:rsidR="00D10871" w:rsidRPr="00AC2ADC" w:rsidRDefault="00D10871">
      <w:pPr>
        <w:pStyle w:val="Textpoznpodarou"/>
        <w:rPr>
          <w:rFonts w:ascii="Arial" w:hAnsi="Arial" w:cs="Arial"/>
          <w:sz w:val="22"/>
          <w:szCs w:val="22"/>
        </w:rPr>
      </w:pPr>
      <w:r w:rsidRPr="00AC2ADC">
        <w:rPr>
          <w:rStyle w:val="Znakapoznpodarou"/>
          <w:rFonts w:ascii="Arial" w:hAnsi="Arial" w:cs="Arial"/>
          <w:sz w:val="22"/>
          <w:szCs w:val="22"/>
        </w:rPr>
        <w:footnoteRef/>
      </w:r>
      <w:hyperlink r:id="rId1" w:history="1">
        <w:r w:rsidRPr="00AC2ADC">
          <w:rPr>
            <w:rStyle w:val="Hypertextovodkaz"/>
            <w:rFonts w:ascii="Arial" w:hAnsi="Arial" w:cs="Arial"/>
            <w:sz w:val="22"/>
            <w:szCs w:val="22"/>
          </w:rPr>
          <w:t>http://www.ceskapojistovna.cz/firmy-mesta-obce.html</w:t>
        </w:r>
      </w:hyperlink>
      <w:r w:rsidRPr="00AC2ADC">
        <w:rPr>
          <w:rFonts w:ascii="Arial" w:hAnsi="Arial" w:cs="Arial"/>
          <w:sz w:val="22"/>
          <w:szCs w:val="22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DD60BD6"/>
    <w:lvl w:ilvl="0">
      <w:numFmt w:val="decimal"/>
      <w:lvlText w:val="*"/>
      <w:lvlJc w:val="left"/>
    </w:lvl>
  </w:abstractNum>
  <w:abstractNum w:abstractNumId="1">
    <w:nsid w:val="119E13B5"/>
    <w:multiLevelType w:val="hybridMultilevel"/>
    <w:tmpl w:val="C7408F78"/>
    <w:lvl w:ilvl="0" w:tplc="DCF8CB9C">
      <w:start w:val="1"/>
      <w:numFmt w:val="bullet"/>
      <w:pStyle w:val="Odr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0B6189"/>
    <w:multiLevelType w:val="multilevel"/>
    <w:tmpl w:val="5EA43A4C"/>
    <w:lvl w:ilvl="0">
      <w:start w:val="1"/>
      <w:numFmt w:val="decimal"/>
      <w:lvlText w:val="%1"/>
      <w:lvlJc w:val="left"/>
      <w:pPr>
        <w:tabs>
          <w:tab w:val="num" w:pos="1719"/>
        </w:tabs>
        <w:ind w:left="1719" w:hanging="432"/>
      </w:pPr>
      <w:rPr>
        <w:rFonts w:hint="default"/>
      </w:rPr>
    </w:lvl>
    <w:lvl w:ilvl="1">
      <w:start w:val="1"/>
      <w:numFmt w:val="decimal"/>
      <w:pStyle w:val="Nadpis2"/>
      <w:lvlText w:val="%2"/>
      <w:lvlJc w:val="left"/>
      <w:pPr>
        <w:tabs>
          <w:tab w:val="num" w:pos="1863"/>
        </w:tabs>
        <w:ind w:left="186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95"/>
        </w:tabs>
        <w:ind w:left="229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9"/>
        </w:tabs>
        <w:ind w:left="243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3"/>
        </w:tabs>
        <w:ind w:left="258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27"/>
        </w:tabs>
        <w:ind w:left="27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1"/>
        </w:tabs>
        <w:ind w:left="2871" w:hanging="1584"/>
      </w:pPr>
      <w:rPr>
        <w:rFonts w:hint="default"/>
      </w:rPr>
    </w:lvl>
  </w:abstractNum>
  <w:abstractNum w:abstractNumId="3">
    <w:nsid w:val="5A083BC3"/>
    <w:multiLevelType w:val="hybridMultilevel"/>
    <w:tmpl w:val="39862F5C"/>
    <w:lvl w:ilvl="0" w:tplc="885A86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104F60"/>
    <w:multiLevelType w:val="hybridMultilevel"/>
    <w:tmpl w:val="A920C3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0"/>
        </w:rPr>
      </w:lvl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E16"/>
    <w:rsid w:val="00080E16"/>
    <w:rsid w:val="000A6E58"/>
    <w:rsid w:val="000B668E"/>
    <w:rsid w:val="000C5F37"/>
    <w:rsid w:val="00101CB8"/>
    <w:rsid w:val="00142AA7"/>
    <w:rsid w:val="00210831"/>
    <w:rsid w:val="002331EF"/>
    <w:rsid w:val="002367ED"/>
    <w:rsid w:val="00247D1F"/>
    <w:rsid w:val="002D5E2B"/>
    <w:rsid w:val="00337333"/>
    <w:rsid w:val="00351DE3"/>
    <w:rsid w:val="00382D1E"/>
    <w:rsid w:val="003C6A54"/>
    <w:rsid w:val="004A65C2"/>
    <w:rsid w:val="00533BDD"/>
    <w:rsid w:val="00636A7E"/>
    <w:rsid w:val="0066431E"/>
    <w:rsid w:val="00685180"/>
    <w:rsid w:val="006C7B79"/>
    <w:rsid w:val="0071666E"/>
    <w:rsid w:val="00727EEE"/>
    <w:rsid w:val="00734048"/>
    <w:rsid w:val="00756CF8"/>
    <w:rsid w:val="00766690"/>
    <w:rsid w:val="007B7091"/>
    <w:rsid w:val="00817B7C"/>
    <w:rsid w:val="008B115B"/>
    <w:rsid w:val="008C564A"/>
    <w:rsid w:val="00900D77"/>
    <w:rsid w:val="00990682"/>
    <w:rsid w:val="0099770E"/>
    <w:rsid w:val="009B7075"/>
    <w:rsid w:val="00A17B02"/>
    <w:rsid w:val="00A431F2"/>
    <w:rsid w:val="00A91296"/>
    <w:rsid w:val="00AC2ADC"/>
    <w:rsid w:val="00AF6D22"/>
    <w:rsid w:val="00B72517"/>
    <w:rsid w:val="00BD13F9"/>
    <w:rsid w:val="00C228AE"/>
    <w:rsid w:val="00C405ED"/>
    <w:rsid w:val="00C7649E"/>
    <w:rsid w:val="00D10871"/>
    <w:rsid w:val="00D9465F"/>
    <w:rsid w:val="00DC529C"/>
    <w:rsid w:val="00EE224C"/>
    <w:rsid w:val="00F1199A"/>
    <w:rsid w:val="00F57B12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rsid w:val="00A17B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tazka-materiál"/>
    <w:basedOn w:val="Normln"/>
    <w:next w:val="Normln"/>
    <w:qFormat/>
    <w:rsid w:val="00080E16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2"/>
      <w:szCs w:val="28"/>
      <w:u w:val="single"/>
    </w:rPr>
  </w:style>
  <w:style w:type="paragraph" w:styleId="Nadpis3">
    <w:name w:val="heading 3"/>
    <w:basedOn w:val="Normln"/>
    <w:next w:val="Normln"/>
    <w:qFormat/>
    <w:rsid w:val="008C564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StylNadpis2Tahoma10bPodtrenZarovnatdobloku">
    <w:name w:val="Styl Nadpis 2 + Tahoma 10 b. Podtržení Zarovnat do bloku"/>
    <w:basedOn w:val="Nadpis2"/>
    <w:rsid w:val="008C564A"/>
    <w:pPr>
      <w:jc w:val="both"/>
    </w:pPr>
    <w:rPr>
      <w:rFonts w:cs="Times New Roman"/>
      <w:sz w:val="20"/>
      <w:szCs w:val="20"/>
    </w:rPr>
  </w:style>
  <w:style w:type="paragraph" w:customStyle="1" w:styleId="Odr1">
    <w:name w:val="Odr1"/>
    <w:basedOn w:val="Normln"/>
    <w:autoRedefine/>
    <w:pPr>
      <w:numPr>
        <w:numId w:val="1"/>
      </w:numPr>
      <w:jc w:val="both"/>
    </w:pPr>
  </w:style>
  <w:style w:type="paragraph" w:styleId="Bezmezer">
    <w:name w:val="No Spacing"/>
    <w:link w:val="BezmezerChar"/>
    <w:qFormat/>
    <w:rsid w:val="002367ED"/>
    <w:rPr>
      <w:rFonts w:ascii="Tahoma" w:hAnsi="Tahoma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rsid w:val="002367ED"/>
    <w:rPr>
      <w:rFonts w:ascii="Tahoma" w:hAnsi="Tahoma"/>
      <w:sz w:val="22"/>
      <w:szCs w:val="22"/>
      <w:lang w:val="cs-CZ" w:eastAsia="en-US" w:bidi="ar-SA"/>
    </w:rPr>
  </w:style>
  <w:style w:type="character" w:styleId="Hypertextovodkaz">
    <w:name w:val="Hyperlink"/>
    <w:basedOn w:val="Standardnpsmoodstavce"/>
    <w:rsid w:val="00BD13F9"/>
    <w:rPr>
      <w:color w:val="0000FF"/>
      <w:u w:val="single"/>
    </w:rPr>
  </w:style>
  <w:style w:type="paragraph" w:styleId="Textpoznpodarou">
    <w:name w:val="footnote text"/>
    <w:basedOn w:val="Normln"/>
    <w:semiHidden/>
    <w:rsid w:val="00F1199A"/>
    <w:rPr>
      <w:szCs w:val="20"/>
    </w:rPr>
  </w:style>
  <w:style w:type="character" w:styleId="Znakapoznpodarou">
    <w:name w:val="footnote reference"/>
    <w:basedOn w:val="Standardnpsmoodstavce"/>
    <w:semiHidden/>
    <w:rsid w:val="00F1199A"/>
    <w:rPr>
      <w:vertAlign w:val="superscript"/>
    </w:rPr>
  </w:style>
  <w:style w:type="paragraph" w:styleId="Nzev">
    <w:name w:val="Title"/>
    <w:basedOn w:val="Normln"/>
    <w:next w:val="Podtitul"/>
    <w:qFormat/>
    <w:rsid w:val="00A17B02"/>
    <w:pPr>
      <w:suppressAutoHyphens/>
      <w:spacing w:line="100" w:lineRule="atLeast"/>
      <w:jc w:val="center"/>
    </w:pPr>
    <w:rPr>
      <w:rFonts w:ascii="Times New Roman" w:hAnsi="Times New Roman"/>
      <w:sz w:val="32"/>
      <w:lang w:eastAsia="ar-SA"/>
    </w:rPr>
  </w:style>
  <w:style w:type="paragraph" w:styleId="Podtitul">
    <w:name w:val="Subtitle"/>
    <w:basedOn w:val="Normln"/>
    <w:qFormat/>
    <w:rsid w:val="00A17B02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Zpat">
    <w:name w:val="footer"/>
    <w:basedOn w:val="Normln"/>
    <w:rsid w:val="00A17B0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17B02"/>
  </w:style>
  <w:style w:type="paragraph" w:styleId="Obsah1">
    <w:name w:val="toc 1"/>
    <w:basedOn w:val="Normln"/>
    <w:next w:val="Normln"/>
    <w:autoRedefine/>
    <w:semiHidden/>
    <w:rsid w:val="00101C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13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37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ncnerova.karin@pacr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skapojistovna.cz/firmy-mesta-obce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FE702-A41F-4DF5-873E-B570BD161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1800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Principy pojištění v krizových situacích</vt:lpstr>
    </vt:vector>
  </TitlesOfParts>
  <Company/>
  <LinksUpToDate>false</LinksUpToDate>
  <CharactersWithSpaces>12402</CharactersWithSpaces>
  <SharedDoc>false</SharedDoc>
  <HLinks>
    <vt:vector size="48" baseType="variant">
      <vt:variant>
        <vt:i4>1114165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_Toc224313245</vt:lpwstr>
      </vt:variant>
      <vt:variant>
        <vt:i4>1114165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_Toc224313244</vt:lpwstr>
      </vt:variant>
      <vt:variant>
        <vt:i4>1114165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_Toc224313243</vt:lpwstr>
      </vt:variant>
      <vt:variant>
        <vt:i4>1114165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_Toc224313242</vt:lpwstr>
      </vt:variant>
      <vt:variant>
        <vt:i4>1114165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_Toc224313241</vt:lpwstr>
      </vt:variant>
      <vt:variant>
        <vt:i4>1114165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_Toc224313240</vt:lpwstr>
      </vt:variant>
      <vt:variant>
        <vt:i4>4980786</vt:i4>
      </vt:variant>
      <vt:variant>
        <vt:i4>0</vt:i4>
      </vt:variant>
      <vt:variant>
        <vt:i4>0</vt:i4>
      </vt:variant>
      <vt:variant>
        <vt:i4>5</vt:i4>
      </vt:variant>
      <vt:variant>
        <vt:lpwstr>mailto:plincnerova.karin@pacr.eu</vt:lpwstr>
      </vt:variant>
      <vt:variant>
        <vt:lpwstr/>
      </vt:variant>
      <vt:variant>
        <vt:i4>6553638</vt:i4>
      </vt:variant>
      <vt:variant>
        <vt:i4>0</vt:i4>
      </vt:variant>
      <vt:variant>
        <vt:i4>0</vt:i4>
      </vt:variant>
      <vt:variant>
        <vt:i4>5</vt:i4>
      </vt:variant>
      <vt:variant>
        <vt:lpwstr>http://www.ceskapojistovna.cz/firmy-mesta-obce.html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Principy pojištění v krizových situacích</dc:title>
  <dc:subject>Ekonomika při řešení krizových situací</dc:subject>
  <dc:creator>Karin Plincnerová</dc:creator>
  <cp:keywords/>
  <dc:description>zaměřeno na územně samosprávný celek</dc:description>
  <cp:lastModifiedBy>Karin Plincnerová</cp:lastModifiedBy>
  <cp:revision>2</cp:revision>
  <dcterms:created xsi:type="dcterms:W3CDTF">2012-02-10T06:42:00Z</dcterms:created>
  <dcterms:modified xsi:type="dcterms:W3CDTF">2012-02-10T06:42:00Z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um dokončení">
    <vt:filetime>2009-03-08T23:00:00Z</vt:filetime>
  </property>
  <property fmtid="{D5CDD505-2E9C-101B-9397-08002B2CF9AE}" pid="3" name="Účel">
    <vt:lpwstr>seminární práce</vt:lpwstr>
  </property>
</Properties>
</file>