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155605311"/>
    <w:p w:rsidR="00CC13CC" w:rsidRPr="00CC13CC" w:rsidRDefault="00CC13CC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r w:rsidRPr="00CC13CC">
        <w:rPr>
          <w:rFonts w:ascii="Tahoma" w:hAnsi="Tahoma" w:cs="Tahoma"/>
          <w:sz w:val="20"/>
          <w:szCs w:val="20"/>
          <w:u w:val="single"/>
        </w:rPr>
        <w:fldChar w:fldCharType="begin"/>
      </w:r>
      <w:r w:rsidRPr="00CC13CC">
        <w:rPr>
          <w:rFonts w:ascii="Tahoma" w:hAnsi="Tahoma" w:cs="Tahoma"/>
          <w:sz w:val="20"/>
          <w:szCs w:val="20"/>
          <w:u w:val="single"/>
        </w:rPr>
        <w:instrText xml:space="preserve"> TOC \o "1-3" \h \z \u </w:instrText>
      </w:r>
      <w:r w:rsidRPr="00CC13CC">
        <w:rPr>
          <w:rFonts w:ascii="Tahoma" w:hAnsi="Tahoma" w:cs="Tahoma"/>
          <w:sz w:val="20"/>
          <w:szCs w:val="20"/>
          <w:u w:val="single"/>
        </w:rPr>
        <w:fldChar w:fldCharType="separate"/>
      </w:r>
      <w:hyperlink w:anchor="_Toc155653683" w:history="1">
        <w:r w:rsidRPr="00CC13CC">
          <w:rPr>
            <w:rStyle w:val="Hypertextovodkaz"/>
            <w:rFonts w:ascii="Tahoma" w:hAnsi="Tahoma" w:cs="Tahoma"/>
            <w:noProof/>
            <w:sz w:val="20"/>
            <w:szCs w:val="20"/>
          </w:rPr>
          <w:t>10b) vyjmenujte právní civilizace</w:t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_Toc155653683 \h </w:instrText>
        </w:r>
        <w:r w:rsidR="00641456" w:rsidRPr="00CC13CC">
          <w:rPr>
            <w:rFonts w:ascii="Tahoma" w:hAnsi="Tahoma" w:cs="Tahoma"/>
            <w:noProof/>
            <w:sz w:val="20"/>
            <w:szCs w:val="20"/>
          </w:rPr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t>2</w:t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CC13CC" w:rsidRPr="00CC13CC" w:rsidRDefault="00CC13CC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hyperlink w:anchor="_Toc155653684" w:history="1">
        <w:r w:rsidRPr="00CC13CC">
          <w:rPr>
            <w:rStyle w:val="Hypertextovodkaz"/>
            <w:rFonts w:ascii="Tahoma" w:hAnsi="Tahoma" w:cs="Tahoma"/>
            <w:noProof/>
            <w:sz w:val="20"/>
            <w:szCs w:val="20"/>
          </w:rPr>
          <w:t>11b) střet civilizací</w:t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_Toc155653684 \h </w:instrText>
        </w:r>
        <w:r w:rsidR="00641456" w:rsidRPr="00CC13CC">
          <w:rPr>
            <w:rFonts w:ascii="Tahoma" w:hAnsi="Tahoma" w:cs="Tahoma"/>
            <w:noProof/>
            <w:sz w:val="20"/>
            <w:szCs w:val="20"/>
          </w:rPr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t>2</w:t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CC13CC" w:rsidRPr="00CC13CC" w:rsidRDefault="00CC13CC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hyperlink w:anchor="_Toc155653685" w:history="1">
        <w:r w:rsidRPr="00CC13CC">
          <w:rPr>
            <w:rStyle w:val="Hypertextovodkaz"/>
            <w:rFonts w:ascii="Tahoma" w:hAnsi="Tahoma" w:cs="Tahoma"/>
            <w:noProof/>
            <w:sz w:val="20"/>
            <w:szCs w:val="20"/>
          </w:rPr>
          <w:t>12b) právní kultura islámská</w:t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_Toc155653685 \h </w:instrText>
        </w:r>
        <w:r w:rsidR="00641456" w:rsidRPr="00CC13CC">
          <w:rPr>
            <w:rFonts w:ascii="Tahoma" w:hAnsi="Tahoma" w:cs="Tahoma"/>
            <w:noProof/>
            <w:sz w:val="20"/>
            <w:szCs w:val="20"/>
          </w:rPr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t>2</w:t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CC13CC" w:rsidRPr="00CC13CC" w:rsidRDefault="00CC13CC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hyperlink w:anchor="_Toc155653686" w:history="1">
        <w:r w:rsidRPr="00CC13CC">
          <w:rPr>
            <w:rStyle w:val="Hypertextovodkaz"/>
            <w:rFonts w:ascii="Tahoma" w:hAnsi="Tahoma" w:cs="Tahoma"/>
            <w:noProof/>
            <w:sz w:val="20"/>
            <w:szCs w:val="20"/>
          </w:rPr>
          <w:t>29b) prameny islámského práva</w:t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_Toc155653686 \h </w:instrText>
        </w:r>
        <w:r w:rsidR="00641456" w:rsidRPr="00CC13CC">
          <w:rPr>
            <w:rFonts w:ascii="Tahoma" w:hAnsi="Tahoma" w:cs="Tahoma"/>
            <w:noProof/>
            <w:sz w:val="20"/>
            <w:szCs w:val="20"/>
          </w:rPr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t>2</w:t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CC13CC" w:rsidRPr="00CC13CC" w:rsidRDefault="00CC13CC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hyperlink w:anchor="_Toc155653687" w:history="1">
        <w:r w:rsidRPr="00CC13CC">
          <w:rPr>
            <w:rStyle w:val="Hypertextovodkaz"/>
            <w:rFonts w:ascii="Tahoma" w:hAnsi="Tahoma" w:cs="Tahoma"/>
            <w:noProof/>
            <w:sz w:val="20"/>
            <w:szCs w:val="20"/>
          </w:rPr>
          <w:t>13b) právní kultura angloamerická</w:t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_Toc155653687 \h </w:instrText>
        </w:r>
        <w:r w:rsidR="00641456" w:rsidRPr="00CC13CC">
          <w:rPr>
            <w:rFonts w:ascii="Tahoma" w:hAnsi="Tahoma" w:cs="Tahoma"/>
            <w:noProof/>
            <w:sz w:val="20"/>
            <w:szCs w:val="20"/>
          </w:rPr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t>3</w:t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CC13CC" w:rsidRPr="00CC13CC" w:rsidRDefault="00CC13CC">
      <w:pPr>
        <w:pStyle w:val="Obsah1"/>
        <w:tabs>
          <w:tab w:val="right" w:pos="10762"/>
        </w:tabs>
        <w:rPr>
          <w:rFonts w:ascii="Tahoma" w:hAnsi="Tahoma" w:cs="Tahoma"/>
          <w:b w:val="0"/>
          <w:bCs w:val="0"/>
          <w:caps w:val="0"/>
          <w:noProof/>
          <w:sz w:val="20"/>
          <w:szCs w:val="20"/>
        </w:rPr>
      </w:pPr>
      <w:hyperlink w:anchor="_Toc155653688" w:history="1">
        <w:r w:rsidRPr="00CC13CC">
          <w:rPr>
            <w:rStyle w:val="Hypertextovodkaz"/>
            <w:rFonts w:ascii="Tahoma" w:hAnsi="Tahoma" w:cs="Tahoma"/>
            <w:noProof/>
            <w:sz w:val="20"/>
            <w:szCs w:val="20"/>
          </w:rPr>
          <w:t>14b) právní kultura kontinentální</w:t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_Toc155653688 \h </w:instrText>
        </w:r>
        <w:r w:rsidR="00641456" w:rsidRPr="00CC13CC">
          <w:rPr>
            <w:rFonts w:ascii="Tahoma" w:hAnsi="Tahoma" w:cs="Tahoma"/>
            <w:noProof/>
            <w:sz w:val="20"/>
            <w:szCs w:val="20"/>
          </w:rPr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t>3</w:t>
        </w:r>
        <w:r w:rsidRPr="00CC13C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:rsidR="009F635D" w:rsidRDefault="00CC13CC" w:rsidP="002D766F">
      <w:pPr>
        <w:pStyle w:val="Nadpis1"/>
        <w:rPr>
          <w:rFonts w:ascii="Tahoma" w:hAnsi="Tahoma" w:cs="Tahoma"/>
          <w:sz w:val="20"/>
          <w:szCs w:val="20"/>
          <w:u w:val="single"/>
        </w:rPr>
      </w:pPr>
      <w:r w:rsidRPr="00CC13CC">
        <w:rPr>
          <w:rFonts w:ascii="Tahoma" w:hAnsi="Tahoma" w:cs="Tahoma"/>
          <w:kern w:val="0"/>
          <w:sz w:val="20"/>
          <w:szCs w:val="20"/>
          <w:u w:val="single"/>
        </w:rPr>
        <w:fldChar w:fldCharType="end"/>
      </w:r>
    </w:p>
    <w:p w:rsidR="007B10DA" w:rsidRPr="002D766F" w:rsidRDefault="009F635D" w:rsidP="002D766F">
      <w:pPr>
        <w:pStyle w:val="Nadpis1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br w:type="page"/>
      </w:r>
      <w:bookmarkStart w:id="1" w:name="_Toc155653683"/>
      <w:r w:rsidR="007B10DA" w:rsidRPr="002D766F">
        <w:rPr>
          <w:rFonts w:ascii="Tahoma" w:hAnsi="Tahoma" w:cs="Tahoma"/>
          <w:sz w:val="20"/>
          <w:szCs w:val="20"/>
          <w:u w:val="single"/>
        </w:rPr>
        <w:lastRenderedPageBreak/>
        <w:t>10b) vyjmenujte právní civilizace</w:t>
      </w:r>
      <w:bookmarkEnd w:id="0"/>
      <w:bookmarkEnd w:id="1"/>
    </w:p>
    <w:p w:rsidR="007B10DA" w:rsidRPr="007B10DA" w:rsidRDefault="007B10DA" w:rsidP="0037518B">
      <w:pPr>
        <w:ind w:left="2160" w:hanging="2160"/>
        <w:jc w:val="both"/>
        <w:rPr>
          <w:rFonts w:cs="Tahoma"/>
          <w:bCs/>
          <w:sz w:val="20"/>
          <w:szCs w:val="20"/>
        </w:rPr>
      </w:pPr>
      <w:r w:rsidRPr="007B10DA">
        <w:rPr>
          <w:rFonts w:cs="Tahoma"/>
          <w:bCs/>
          <w:sz w:val="20"/>
          <w:szCs w:val="20"/>
          <w:u w:val="single"/>
        </w:rPr>
        <w:t>Euroatlantická</w:t>
      </w:r>
      <w:r w:rsidR="0037518B">
        <w:rPr>
          <w:rFonts w:cs="Tahoma"/>
          <w:bCs/>
          <w:sz w:val="20"/>
          <w:szCs w:val="20"/>
        </w:rPr>
        <w:tab/>
        <w:t>- v</w:t>
      </w:r>
      <w:r w:rsidRPr="007B10DA">
        <w:rPr>
          <w:rFonts w:cs="Tahoma"/>
          <w:bCs/>
          <w:sz w:val="20"/>
          <w:szCs w:val="20"/>
        </w:rPr>
        <w:t xml:space="preserve">zešla historicky ze Západořímské říše, tvořící státy NATO, EU, plus Švýcarsko, Vatikán, Chorvatsko, </w:t>
      </w:r>
      <w:r w:rsidR="0037518B">
        <w:rPr>
          <w:rFonts w:cs="Tahoma"/>
          <w:bCs/>
          <w:sz w:val="20"/>
          <w:szCs w:val="20"/>
        </w:rPr>
        <w:t>Au</w:t>
      </w:r>
      <w:r w:rsidRPr="007B10DA">
        <w:rPr>
          <w:rFonts w:cs="Tahoma"/>
          <w:bCs/>
          <w:sz w:val="20"/>
          <w:szCs w:val="20"/>
        </w:rPr>
        <w:t>strálie a Nový Zéland atd.</w:t>
      </w:r>
    </w:p>
    <w:p w:rsidR="007B10DA" w:rsidRPr="007B10DA" w:rsidRDefault="007B10DA" w:rsidP="0037518B">
      <w:pPr>
        <w:ind w:left="2160" w:hanging="2160"/>
        <w:jc w:val="both"/>
        <w:rPr>
          <w:rFonts w:cs="Tahoma"/>
          <w:sz w:val="20"/>
          <w:szCs w:val="20"/>
        </w:rPr>
      </w:pPr>
      <w:r w:rsidRPr="007B10DA">
        <w:rPr>
          <w:rFonts w:cs="Tahoma"/>
          <w:bCs/>
          <w:sz w:val="20"/>
          <w:szCs w:val="20"/>
          <w:u w:val="single"/>
        </w:rPr>
        <w:t>Konfuciánská</w:t>
      </w:r>
      <w:r w:rsidRPr="007B10DA">
        <w:rPr>
          <w:rFonts w:cs="Tahoma"/>
          <w:sz w:val="20"/>
          <w:szCs w:val="20"/>
        </w:rPr>
        <w:t xml:space="preserve"> </w:t>
      </w:r>
      <w:r w:rsidR="0037518B">
        <w:rPr>
          <w:rFonts w:cs="Tahoma"/>
          <w:sz w:val="20"/>
          <w:szCs w:val="20"/>
        </w:rPr>
        <w:tab/>
      </w:r>
      <w:r w:rsidRPr="007B10DA">
        <w:rPr>
          <w:rFonts w:cs="Tahoma"/>
          <w:sz w:val="20"/>
          <w:szCs w:val="20"/>
        </w:rPr>
        <w:t>– Čína (vč. Okupovaného Tibetu, Sing-tingu, Vnitřního Mongolska) a včetně Hong-kongu a Thajwanu.</w:t>
      </w:r>
    </w:p>
    <w:p w:rsidR="007B10DA" w:rsidRPr="007B10DA" w:rsidRDefault="007B10DA" w:rsidP="0037518B">
      <w:pPr>
        <w:ind w:left="2160" w:hanging="2160"/>
        <w:jc w:val="both"/>
        <w:rPr>
          <w:rFonts w:cs="Tahoma"/>
          <w:sz w:val="20"/>
          <w:szCs w:val="20"/>
        </w:rPr>
      </w:pPr>
      <w:r w:rsidRPr="007B10DA">
        <w:rPr>
          <w:rFonts w:cs="Tahoma"/>
          <w:bCs/>
          <w:sz w:val="20"/>
          <w:szCs w:val="20"/>
          <w:u w:val="single"/>
        </w:rPr>
        <w:t>Japonská</w:t>
      </w:r>
      <w:r w:rsidR="0037518B">
        <w:rPr>
          <w:rFonts w:cs="Tahoma"/>
          <w:bCs/>
          <w:sz w:val="20"/>
          <w:szCs w:val="20"/>
        </w:rPr>
        <w:tab/>
      </w:r>
      <w:r w:rsidRPr="007B10DA">
        <w:rPr>
          <w:rFonts w:cs="Tahoma"/>
          <w:sz w:val="20"/>
          <w:szCs w:val="20"/>
        </w:rPr>
        <w:t>– Japonské císařství, event. Korea</w:t>
      </w:r>
    </w:p>
    <w:p w:rsidR="007B10DA" w:rsidRPr="00C463DB" w:rsidRDefault="007B10DA" w:rsidP="0037518B">
      <w:pPr>
        <w:ind w:left="2160" w:hanging="2160"/>
        <w:jc w:val="both"/>
        <w:rPr>
          <w:rFonts w:cs="Tahoma"/>
          <w:bCs/>
          <w:sz w:val="20"/>
          <w:szCs w:val="20"/>
        </w:rPr>
      </w:pPr>
      <w:r w:rsidRPr="007B10DA">
        <w:rPr>
          <w:rFonts w:cs="Tahoma"/>
          <w:bCs/>
          <w:sz w:val="20"/>
          <w:szCs w:val="20"/>
          <w:u w:val="single"/>
        </w:rPr>
        <w:t>Islámská (Muslimská</w:t>
      </w:r>
      <w:r w:rsidRPr="00C463DB">
        <w:rPr>
          <w:rFonts w:cs="Tahoma"/>
          <w:bCs/>
          <w:sz w:val="20"/>
          <w:szCs w:val="20"/>
          <w:u w:val="single"/>
        </w:rPr>
        <w:t>)</w:t>
      </w:r>
      <w:r w:rsidRPr="0037518B">
        <w:rPr>
          <w:rFonts w:cs="Tahoma"/>
          <w:bCs/>
          <w:sz w:val="20"/>
          <w:szCs w:val="20"/>
        </w:rPr>
        <w:t xml:space="preserve"> </w:t>
      </w:r>
      <w:r w:rsidR="0037518B" w:rsidRPr="0037518B">
        <w:rPr>
          <w:rFonts w:cs="Tahoma"/>
          <w:bCs/>
          <w:sz w:val="20"/>
          <w:szCs w:val="20"/>
        </w:rPr>
        <w:tab/>
      </w:r>
      <w:r w:rsidRPr="00C463DB">
        <w:rPr>
          <w:rFonts w:cs="Tahoma"/>
          <w:bCs/>
          <w:sz w:val="20"/>
          <w:szCs w:val="20"/>
        </w:rPr>
        <w:t>– Arabské a islámské státy v severní Africe, Středního východu, Pakistán, Malajsie, Indonésie, Brunej. Dominantní státy: Egypt, Saudská Arábie, Irán</w:t>
      </w:r>
    </w:p>
    <w:p w:rsidR="007B10DA" w:rsidRPr="007B10DA" w:rsidRDefault="007B10DA" w:rsidP="0037518B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bCs/>
          <w:sz w:val="20"/>
          <w:szCs w:val="20"/>
          <w:u w:val="single"/>
        </w:rPr>
        <w:t>Hinduistická</w:t>
      </w:r>
      <w:r w:rsidRPr="007B10DA">
        <w:rPr>
          <w:rFonts w:cs="Tahoma"/>
          <w:sz w:val="20"/>
          <w:szCs w:val="20"/>
        </w:rPr>
        <w:t xml:space="preserve"> </w:t>
      </w:r>
      <w:r w:rsidR="0037518B">
        <w:rPr>
          <w:rFonts w:cs="Tahoma"/>
          <w:sz w:val="20"/>
          <w:szCs w:val="20"/>
        </w:rPr>
        <w:tab/>
      </w:r>
      <w:r w:rsidR="0037518B">
        <w:rPr>
          <w:rFonts w:cs="Tahoma"/>
          <w:sz w:val="20"/>
          <w:szCs w:val="20"/>
        </w:rPr>
        <w:tab/>
      </w:r>
      <w:r w:rsidRPr="007B10DA">
        <w:rPr>
          <w:rFonts w:cs="Tahoma"/>
          <w:sz w:val="20"/>
          <w:szCs w:val="20"/>
        </w:rPr>
        <w:t>– Indie, Nepál, Bhútán atd.</w:t>
      </w:r>
    </w:p>
    <w:p w:rsidR="007B10DA" w:rsidRPr="007B10DA" w:rsidRDefault="007B10DA" w:rsidP="0037518B">
      <w:pPr>
        <w:ind w:left="2160" w:hanging="2160"/>
        <w:jc w:val="both"/>
        <w:rPr>
          <w:rFonts w:cs="Tahoma"/>
          <w:sz w:val="20"/>
          <w:szCs w:val="20"/>
        </w:rPr>
      </w:pPr>
      <w:r w:rsidRPr="007B10DA">
        <w:rPr>
          <w:rFonts w:cs="Tahoma"/>
          <w:bCs/>
          <w:sz w:val="20"/>
          <w:szCs w:val="20"/>
          <w:u w:val="single"/>
        </w:rPr>
        <w:t>Východokřesťanská</w:t>
      </w:r>
      <w:r w:rsidRPr="007B10DA">
        <w:rPr>
          <w:rFonts w:cs="Tahoma"/>
          <w:bCs/>
          <w:sz w:val="20"/>
          <w:szCs w:val="20"/>
        </w:rPr>
        <w:t xml:space="preserve"> (Slovansko-pravoslavná)</w:t>
      </w:r>
      <w:r w:rsidRPr="007B10DA">
        <w:rPr>
          <w:rFonts w:cs="Tahoma"/>
          <w:sz w:val="20"/>
          <w:szCs w:val="20"/>
        </w:rPr>
        <w:t xml:space="preserve"> – Rusko, Ukrajina, Bělorusko, ale též Rumunsko, Srbsko, Bulharsko, Řecko, Kypr, Makedonie atd.</w:t>
      </w:r>
    </w:p>
    <w:p w:rsidR="007B10DA" w:rsidRPr="007B10DA" w:rsidRDefault="007B10DA" w:rsidP="0037518B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bCs/>
          <w:sz w:val="20"/>
          <w:szCs w:val="20"/>
          <w:u w:val="single"/>
        </w:rPr>
        <w:t>Latinskoamerická</w:t>
      </w:r>
      <w:r w:rsidRPr="007B10DA">
        <w:rPr>
          <w:rFonts w:cs="Tahoma"/>
          <w:sz w:val="20"/>
          <w:szCs w:val="20"/>
        </w:rPr>
        <w:t xml:space="preserve"> </w:t>
      </w:r>
      <w:r w:rsidR="0037518B">
        <w:rPr>
          <w:rFonts w:cs="Tahoma"/>
          <w:sz w:val="20"/>
          <w:szCs w:val="20"/>
        </w:rPr>
        <w:tab/>
      </w:r>
      <w:r w:rsidRPr="007B10DA">
        <w:rPr>
          <w:rFonts w:cs="Tahoma"/>
          <w:sz w:val="20"/>
          <w:szCs w:val="20"/>
        </w:rPr>
        <w:t>– Americké státy na jih od RIO GRANDE del NORTE</w:t>
      </w:r>
      <w:r w:rsidR="0037518B">
        <w:rPr>
          <w:rFonts w:cs="Tahoma"/>
          <w:sz w:val="20"/>
          <w:szCs w:val="20"/>
        </w:rPr>
        <w:t xml:space="preserve"> (Brazílie, Chille …) = španělsky mluvící státy</w:t>
      </w:r>
    </w:p>
    <w:p w:rsidR="007B10DA" w:rsidRPr="007B10DA" w:rsidRDefault="007B10DA" w:rsidP="0037518B">
      <w:pPr>
        <w:jc w:val="both"/>
        <w:rPr>
          <w:rFonts w:cs="Tahoma"/>
          <w:sz w:val="20"/>
          <w:szCs w:val="20"/>
        </w:rPr>
      </w:pPr>
      <w:r w:rsidRPr="0037518B">
        <w:rPr>
          <w:rFonts w:cs="Tahoma"/>
          <w:bCs/>
          <w:sz w:val="20"/>
          <w:szCs w:val="20"/>
          <w:u w:val="single"/>
        </w:rPr>
        <w:t>Africká</w:t>
      </w:r>
      <w:r w:rsidRPr="0037518B">
        <w:rPr>
          <w:rFonts w:cs="Tahoma"/>
          <w:sz w:val="20"/>
          <w:szCs w:val="20"/>
          <w:u w:val="single"/>
        </w:rPr>
        <w:t xml:space="preserve"> (Subsaharská)</w:t>
      </w:r>
      <w:r w:rsidRPr="007B10DA">
        <w:rPr>
          <w:rFonts w:cs="Tahoma"/>
          <w:sz w:val="20"/>
          <w:szCs w:val="20"/>
        </w:rPr>
        <w:t xml:space="preserve"> </w:t>
      </w:r>
      <w:r w:rsidR="0037518B">
        <w:rPr>
          <w:rFonts w:cs="Tahoma"/>
          <w:sz w:val="20"/>
          <w:szCs w:val="20"/>
        </w:rPr>
        <w:tab/>
      </w:r>
      <w:r w:rsidRPr="007B10DA">
        <w:rPr>
          <w:rFonts w:cs="Tahoma"/>
          <w:sz w:val="20"/>
          <w:szCs w:val="20"/>
        </w:rPr>
        <w:t>– Nigérie, Zimbabwe, Kenya atd.</w:t>
      </w:r>
    </w:p>
    <w:p w:rsidR="007B10DA" w:rsidRPr="002D766F" w:rsidRDefault="007B10DA" w:rsidP="002D766F">
      <w:pPr>
        <w:pStyle w:val="Nadpis1"/>
        <w:rPr>
          <w:rFonts w:ascii="Tahoma" w:hAnsi="Tahoma" w:cs="Tahoma"/>
          <w:sz w:val="20"/>
          <w:szCs w:val="20"/>
          <w:u w:val="single"/>
        </w:rPr>
      </w:pPr>
      <w:bookmarkStart w:id="2" w:name="_Toc155605312"/>
      <w:bookmarkStart w:id="3" w:name="_Toc155653684"/>
      <w:r w:rsidRPr="002D766F">
        <w:rPr>
          <w:rFonts w:ascii="Tahoma" w:hAnsi="Tahoma" w:cs="Tahoma"/>
          <w:sz w:val="20"/>
          <w:szCs w:val="20"/>
          <w:u w:val="single"/>
        </w:rPr>
        <w:t>11b) střet civilizací</w:t>
      </w:r>
      <w:bookmarkEnd w:id="2"/>
      <w:bookmarkEnd w:id="3"/>
    </w:p>
    <w:p w:rsidR="00F065C7" w:rsidRPr="00F065C7" w:rsidRDefault="00D564C4" w:rsidP="00F065C7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Půjde o s</w:t>
      </w:r>
      <w:r w:rsidR="00F065C7" w:rsidRPr="00F065C7">
        <w:rPr>
          <w:b/>
          <w:sz w:val="20"/>
          <w:szCs w:val="20"/>
        </w:rPr>
        <w:t xml:space="preserve">třet civilizací </w:t>
      </w:r>
      <w:r w:rsidR="00F065C7" w:rsidRPr="00D564C4">
        <w:rPr>
          <w:sz w:val="20"/>
          <w:szCs w:val="20"/>
        </w:rPr>
        <w:t>(kdo koho převychová)</w:t>
      </w:r>
      <w:r w:rsidR="00F065C7" w:rsidRPr="00F065C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na mikroúrovni, tj v místech, kde se jednotlivé civilizace setkávají a na makroúrovni, jako boj dominantních států těchto civilizací. </w:t>
      </w:r>
    </w:p>
    <w:p w:rsidR="00F065C7" w:rsidRPr="00F065C7" w:rsidRDefault="00F065C7" w:rsidP="00F065C7">
      <w:pPr>
        <w:jc w:val="both"/>
        <w:rPr>
          <w:b/>
          <w:sz w:val="20"/>
          <w:szCs w:val="20"/>
          <w:u w:val="single"/>
        </w:rPr>
      </w:pPr>
    </w:p>
    <w:p w:rsidR="00F065C7" w:rsidRPr="00F065C7" w:rsidRDefault="00F065C7" w:rsidP="00F065C7">
      <w:pPr>
        <w:jc w:val="both"/>
        <w:rPr>
          <w:sz w:val="20"/>
          <w:szCs w:val="20"/>
        </w:rPr>
      </w:pPr>
      <w:r w:rsidRPr="00F065C7">
        <w:rPr>
          <w:sz w:val="20"/>
          <w:szCs w:val="20"/>
        </w:rPr>
        <w:t>Kniha předního amerického politologa</w:t>
      </w:r>
      <w:r w:rsidR="00D564C4">
        <w:rPr>
          <w:sz w:val="20"/>
          <w:szCs w:val="20"/>
        </w:rPr>
        <w:t xml:space="preserve"> Huntingtona</w:t>
      </w:r>
      <w:r w:rsidRPr="00F065C7">
        <w:rPr>
          <w:sz w:val="20"/>
          <w:szCs w:val="20"/>
        </w:rPr>
        <w:t xml:space="preserve"> je pronikavou an</w:t>
      </w:r>
      <w:r w:rsidR="0032232B">
        <w:rPr>
          <w:sz w:val="20"/>
          <w:szCs w:val="20"/>
        </w:rPr>
        <w:t>a</w:t>
      </w:r>
      <w:r w:rsidRPr="00F065C7">
        <w:rPr>
          <w:sz w:val="20"/>
          <w:szCs w:val="20"/>
        </w:rPr>
        <w:t>lýzou stavu světové politiky po skončení studené války, kdy hnacími silami již nejsou národní státy a ideologie, nýbrž civilizace vymezené náboženskými, právními a kulturními tradicemi. Globální politika bude formována především kulturními rozdíly a pokud propuknou války, bu</w:t>
      </w:r>
      <w:r w:rsidR="0032232B">
        <w:rPr>
          <w:sz w:val="20"/>
          <w:szCs w:val="20"/>
        </w:rPr>
        <w:t>dou se týkat celých civilizací.</w:t>
      </w:r>
    </w:p>
    <w:p w:rsidR="00F065C7" w:rsidRPr="00F065C7" w:rsidRDefault="00F065C7" w:rsidP="00F065C7">
      <w:pPr>
        <w:jc w:val="both"/>
        <w:rPr>
          <w:sz w:val="20"/>
          <w:szCs w:val="20"/>
        </w:rPr>
      </w:pPr>
      <w:r w:rsidRPr="0032232B">
        <w:rPr>
          <w:b/>
          <w:sz w:val="20"/>
          <w:szCs w:val="20"/>
        </w:rPr>
        <w:t>Civilizace</w:t>
      </w:r>
      <w:r w:rsidRPr="00F065C7">
        <w:rPr>
          <w:sz w:val="20"/>
          <w:szCs w:val="20"/>
        </w:rPr>
        <w:t xml:space="preserve"> jsou dle jeho názoru </w:t>
      </w:r>
      <w:r w:rsidRPr="0032232B">
        <w:rPr>
          <w:b/>
          <w:sz w:val="20"/>
          <w:szCs w:val="20"/>
        </w:rPr>
        <w:t>velké</w:t>
      </w:r>
      <w:r w:rsidRPr="00F065C7">
        <w:rPr>
          <w:sz w:val="20"/>
          <w:szCs w:val="20"/>
        </w:rPr>
        <w:t xml:space="preserve"> </w:t>
      </w:r>
      <w:r w:rsidRPr="0032232B">
        <w:rPr>
          <w:b/>
          <w:sz w:val="20"/>
          <w:szCs w:val="20"/>
        </w:rPr>
        <w:t>kulturní</w:t>
      </w:r>
      <w:r w:rsidRPr="00F065C7">
        <w:rPr>
          <w:sz w:val="20"/>
          <w:szCs w:val="20"/>
        </w:rPr>
        <w:t xml:space="preserve"> </w:t>
      </w:r>
      <w:r w:rsidRPr="0032232B">
        <w:rPr>
          <w:b/>
          <w:sz w:val="20"/>
          <w:szCs w:val="20"/>
        </w:rPr>
        <w:t>skupiny</w:t>
      </w:r>
      <w:r w:rsidRPr="00F065C7">
        <w:rPr>
          <w:sz w:val="20"/>
          <w:szCs w:val="20"/>
        </w:rPr>
        <w:t xml:space="preserve">, které se vzájemně </w:t>
      </w:r>
      <w:r w:rsidRPr="0032232B">
        <w:rPr>
          <w:b/>
          <w:sz w:val="20"/>
          <w:szCs w:val="20"/>
        </w:rPr>
        <w:t>odlišují</w:t>
      </w:r>
      <w:r w:rsidRPr="00F065C7">
        <w:rPr>
          <w:sz w:val="20"/>
          <w:szCs w:val="20"/>
        </w:rPr>
        <w:t xml:space="preserve"> </w:t>
      </w:r>
      <w:r w:rsidRPr="0032232B">
        <w:rPr>
          <w:b/>
          <w:sz w:val="20"/>
          <w:szCs w:val="20"/>
        </w:rPr>
        <w:t>náboženstvím</w:t>
      </w:r>
      <w:r w:rsidRPr="00F065C7">
        <w:rPr>
          <w:sz w:val="20"/>
          <w:szCs w:val="20"/>
        </w:rPr>
        <w:t xml:space="preserve">, </w:t>
      </w:r>
      <w:r w:rsidRPr="0032232B">
        <w:rPr>
          <w:b/>
          <w:sz w:val="20"/>
          <w:szCs w:val="20"/>
        </w:rPr>
        <w:t>jazykem</w:t>
      </w:r>
      <w:r w:rsidRPr="00F065C7">
        <w:rPr>
          <w:sz w:val="20"/>
          <w:szCs w:val="20"/>
        </w:rPr>
        <w:t xml:space="preserve">, </w:t>
      </w:r>
      <w:r w:rsidRPr="0032232B">
        <w:rPr>
          <w:b/>
          <w:sz w:val="20"/>
          <w:szCs w:val="20"/>
        </w:rPr>
        <w:t>zvyky</w:t>
      </w:r>
      <w:r w:rsidRPr="00F065C7">
        <w:rPr>
          <w:sz w:val="20"/>
          <w:szCs w:val="20"/>
        </w:rPr>
        <w:t xml:space="preserve"> a </w:t>
      </w:r>
      <w:r w:rsidRPr="0032232B">
        <w:rPr>
          <w:b/>
          <w:sz w:val="20"/>
          <w:szCs w:val="20"/>
        </w:rPr>
        <w:t>institucemi</w:t>
      </w:r>
      <w:r w:rsidRPr="00F065C7">
        <w:rPr>
          <w:sz w:val="20"/>
          <w:szCs w:val="20"/>
        </w:rPr>
        <w:t xml:space="preserve">. Je to skupina sjednocená určitým cílem. </w:t>
      </w:r>
      <w:r w:rsidRPr="009C5B1D">
        <w:rPr>
          <w:b/>
          <w:sz w:val="20"/>
          <w:szCs w:val="20"/>
        </w:rPr>
        <w:t>Civilizační</w:t>
      </w:r>
      <w:r w:rsidRPr="00F065C7">
        <w:rPr>
          <w:sz w:val="20"/>
          <w:szCs w:val="20"/>
        </w:rPr>
        <w:t xml:space="preserve"> </w:t>
      </w:r>
      <w:r w:rsidRPr="009C5B1D">
        <w:rPr>
          <w:b/>
          <w:sz w:val="20"/>
          <w:szCs w:val="20"/>
        </w:rPr>
        <w:t>rozdíly</w:t>
      </w:r>
      <w:r w:rsidRPr="00F065C7">
        <w:rPr>
          <w:sz w:val="20"/>
          <w:szCs w:val="20"/>
        </w:rPr>
        <w:t xml:space="preserve"> nahradily ideologické protiklady jako nejdůležitější </w:t>
      </w:r>
      <w:r w:rsidRPr="009C5B1D">
        <w:rPr>
          <w:b/>
          <w:sz w:val="20"/>
          <w:szCs w:val="20"/>
        </w:rPr>
        <w:t>zdroj konfliktů mezi lidmi a státy</w:t>
      </w:r>
    </w:p>
    <w:p w:rsidR="00F065C7" w:rsidRPr="00F065C7" w:rsidRDefault="00F065C7" w:rsidP="00F065C7">
      <w:pPr>
        <w:jc w:val="both"/>
        <w:rPr>
          <w:sz w:val="20"/>
          <w:szCs w:val="20"/>
        </w:rPr>
      </w:pPr>
      <w:r w:rsidRPr="00F065C7">
        <w:rPr>
          <w:sz w:val="20"/>
          <w:szCs w:val="20"/>
        </w:rPr>
        <w:t xml:space="preserve">Hlavní konflikt bude mezi </w:t>
      </w:r>
      <w:r w:rsidR="009C5B1D">
        <w:rPr>
          <w:sz w:val="20"/>
          <w:szCs w:val="20"/>
        </w:rPr>
        <w:t>Euroatlantickou a tzv</w:t>
      </w:r>
      <w:r w:rsidRPr="00F065C7">
        <w:rPr>
          <w:sz w:val="20"/>
          <w:szCs w:val="20"/>
        </w:rPr>
        <w:t xml:space="preserve">. muslimskokonfuciánskou civilizací. </w:t>
      </w:r>
    </w:p>
    <w:p w:rsidR="00F065C7" w:rsidRDefault="00F065C7" w:rsidP="00F065C7">
      <w:pPr>
        <w:jc w:val="both"/>
        <w:rPr>
          <w:sz w:val="20"/>
          <w:szCs w:val="20"/>
        </w:rPr>
      </w:pPr>
    </w:p>
    <w:p w:rsidR="00F065C7" w:rsidRPr="00F065C7" w:rsidRDefault="00F065C7" w:rsidP="00F065C7">
      <w:pPr>
        <w:jc w:val="both"/>
        <w:rPr>
          <w:sz w:val="20"/>
          <w:szCs w:val="20"/>
        </w:rPr>
      </w:pPr>
      <w:r w:rsidRPr="00F065C7">
        <w:rPr>
          <w:sz w:val="20"/>
          <w:szCs w:val="20"/>
        </w:rPr>
        <w:t>Rozlišuje osm hlavních civilizací v dnešním světě: západní (euroatlantickou),</w:t>
      </w:r>
      <w:r w:rsidR="009C5B1D">
        <w:rPr>
          <w:sz w:val="20"/>
          <w:szCs w:val="20"/>
        </w:rPr>
        <w:t xml:space="preserve"> </w:t>
      </w:r>
      <w:r w:rsidRPr="00F065C7">
        <w:rPr>
          <w:sz w:val="20"/>
          <w:szCs w:val="20"/>
        </w:rPr>
        <w:t xml:space="preserve">konfuciánskou (tj. čínskou), japonskou, </w:t>
      </w:r>
      <w:r w:rsidR="009C5B1D">
        <w:rPr>
          <w:sz w:val="20"/>
          <w:szCs w:val="20"/>
        </w:rPr>
        <w:t>m</w:t>
      </w:r>
      <w:r w:rsidRPr="00F065C7">
        <w:rPr>
          <w:sz w:val="20"/>
          <w:szCs w:val="20"/>
        </w:rPr>
        <w:t>uslimskou,</w:t>
      </w:r>
      <w:r w:rsidR="009C5B1D">
        <w:rPr>
          <w:sz w:val="20"/>
          <w:szCs w:val="20"/>
        </w:rPr>
        <w:t xml:space="preserve"> </w:t>
      </w:r>
      <w:r w:rsidRPr="00F065C7">
        <w:rPr>
          <w:sz w:val="20"/>
          <w:szCs w:val="20"/>
        </w:rPr>
        <w:t>hinduistickou, slovansko-pravoslavnou, latinskoamerickou,</w:t>
      </w:r>
      <w:r w:rsidR="009C5B1D"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africkou</w:t>
      </w:r>
    </w:p>
    <w:p w:rsidR="00F065C7" w:rsidRPr="00F065C7" w:rsidRDefault="00F065C7" w:rsidP="00F065C7">
      <w:pPr>
        <w:jc w:val="both"/>
        <w:rPr>
          <w:sz w:val="20"/>
          <w:szCs w:val="20"/>
        </w:rPr>
      </w:pPr>
      <w:r w:rsidRPr="00F065C7">
        <w:rPr>
          <w:sz w:val="20"/>
          <w:szCs w:val="20"/>
        </w:rPr>
        <w:t>Současné boje na Balkáně, v Indii, v Izraeli, na Kavkaze či v Africe jsou prvními symptomy nastávající globální srážky</w:t>
      </w:r>
    </w:p>
    <w:p w:rsidR="007B10DA" w:rsidRPr="002D766F" w:rsidRDefault="007B10DA" w:rsidP="002D766F">
      <w:pPr>
        <w:pStyle w:val="Nadpis1"/>
        <w:rPr>
          <w:rFonts w:ascii="Tahoma" w:hAnsi="Tahoma" w:cs="Tahoma"/>
          <w:sz w:val="20"/>
          <w:szCs w:val="20"/>
          <w:u w:val="single"/>
        </w:rPr>
      </w:pPr>
      <w:bookmarkStart w:id="4" w:name="_Toc155605313"/>
      <w:bookmarkStart w:id="5" w:name="_Toc155653685"/>
      <w:r w:rsidRPr="002D766F">
        <w:rPr>
          <w:rFonts w:ascii="Tahoma" w:hAnsi="Tahoma" w:cs="Tahoma"/>
          <w:sz w:val="20"/>
          <w:szCs w:val="20"/>
          <w:u w:val="single"/>
        </w:rPr>
        <w:t>12b) právní kultura islámská</w:t>
      </w:r>
      <w:bookmarkEnd w:id="4"/>
      <w:bookmarkEnd w:id="5"/>
    </w:p>
    <w:p w:rsidR="007B10DA" w:rsidRPr="007B10DA" w:rsidRDefault="007B10DA" w:rsidP="007B10DA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(str. 115 Teorie práva)</w:t>
      </w:r>
    </w:p>
    <w:p w:rsidR="00227222" w:rsidRDefault="00227222" w:rsidP="00227222">
      <w:pPr>
        <w:widowControl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 xml:space="preserve">Je </w:t>
      </w:r>
      <w:r w:rsidRPr="00227222">
        <w:rPr>
          <w:rFonts w:cs="Tahoma"/>
          <w:sz w:val="20"/>
          <w:szCs w:val="20"/>
          <w:u w:val="single"/>
        </w:rPr>
        <w:t>historicky nejmladší</w:t>
      </w:r>
      <w:r w:rsidRPr="007B10DA">
        <w:rPr>
          <w:rFonts w:cs="Tahoma"/>
          <w:sz w:val="20"/>
          <w:szCs w:val="20"/>
        </w:rPr>
        <w:t xml:space="preserve">m v porovnání s kontinentálním a angloamerickým systémem práva. </w:t>
      </w:r>
    </w:p>
    <w:p w:rsidR="00227222" w:rsidRDefault="00227222" w:rsidP="00227222">
      <w:pPr>
        <w:widowControl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 xml:space="preserve">Přesto pro jeho úzké sepětí s islámským náboženským a protínáním právních pravidel islámu s pravidly náboženskými a etickými je systémem </w:t>
      </w:r>
      <w:r w:rsidRPr="00227222">
        <w:rPr>
          <w:rFonts w:cs="Tahoma"/>
          <w:sz w:val="20"/>
          <w:szCs w:val="20"/>
          <w:u w:val="single"/>
        </w:rPr>
        <w:t>nejobtížněji adaptabilním</w:t>
      </w:r>
      <w:r w:rsidRPr="007B10DA">
        <w:rPr>
          <w:rFonts w:cs="Tahoma"/>
          <w:sz w:val="20"/>
          <w:szCs w:val="20"/>
        </w:rPr>
        <w:t xml:space="preserve"> modernímu vývoji společnosti (nerovné postavení mužů a žen, typické tělesné a zmrzačující tresty).</w:t>
      </w:r>
    </w:p>
    <w:p w:rsidR="00227222" w:rsidRPr="007B10DA" w:rsidRDefault="00227222" w:rsidP="00227222">
      <w:pPr>
        <w:widowControl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 xml:space="preserve">Islámské </w:t>
      </w:r>
      <w:r w:rsidRPr="00227222">
        <w:rPr>
          <w:rFonts w:cs="Tahoma"/>
          <w:b/>
          <w:sz w:val="20"/>
          <w:szCs w:val="20"/>
        </w:rPr>
        <w:t xml:space="preserve">boží právo </w:t>
      </w:r>
      <w:r w:rsidRPr="00227222">
        <w:rPr>
          <w:rFonts w:cs="Tahoma"/>
          <w:b/>
          <w:bCs/>
          <w:sz w:val="20"/>
          <w:szCs w:val="20"/>
        </w:rPr>
        <w:t>„šaría</w:t>
      </w:r>
      <w:r w:rsidRPr="007B10DA">
        <w:rPr>
          <w:rFonts w:cs="Tahoma"/>
          <w:b/>
          <w:bCs/>
          <w:sz w:val="20"/>
          <w:szCs w:val="20"/>
        </w:rPr>
        <w:t>“</w:t>
      </w:r>
      <w:r w:rsidRPr="007B10DA">
        <w:rPr>
          <w:rFonts w:cs="Tahoma"/>
          <w:sz w:val="20"/>
          <w:szCs w:val="20"/>
        </w:rPr>
        <w:t xml:space="preserve"> není totožné s </w:t>
      </w:r>
      <w:r w:rsidRPr="00227222">
        <w:rPr>
          <w:rFonts w:cs="Tahoma"/>
          <w:sz w:val="20"/>
          <w:szCs w:val="20"/>
          <w:u w:val="single"/>
        </w:rPr>
        <w:t>právem islámských zemí</w:t>
      </w:r>
      <w:r w:rsidRPr="007B10DA">
        <w:rPr>
          <w:rFonts w:cs="Tahoma"/>
          <w:sz w:val="20"/>
          <w:szCs w:val="20"/>
        </w:rPr>
        <w:t xml:space="preserve">, zpravidla </w:t>
      </w:r>
      <w:r w:rsidRPr="00227222">
        <w:rPr>
          <w:rFonts w:cs="Tahoma"/>
          <w:sz w:val="20"/>
          <w:szCs w:val="20"/>
          <w:u w:val="single"/>
        </w:rPr>
        <w:t>tvoří</w:t>
      </w:r>
      <w:r w:rsidRPr="007B10DA">
        <w:rPr>
          <w:rFonts w:cs="Tahoma"/>
          <w:sz w:val="20"/>
          <w:szCs w:val="20"/>
        </w:rPr>
        <w:t xml:space="preserve"> jen </w:t>
      </w:r>
      <w:r w:rsidRPr="00227222">
        <w:rPr>
          <w:rFonts w:cs="Tahoma"/>
          <w:sz w:val="20"/>
          <w:szCs w:val="20"/>
          <w:u w:val="single"/>
        </w:rPr>
        <w:t>jeho část</w:t>
      </w:r>
      <w:r w:rsidRPr="007B10DA">
        <w:rPr>
          <w:rFonts w:cs="Tahoma"/>
          <w:sz w:val="20"/>
          <w:szCs w:val="20"/>
        </w:rPr>
        <w:t xml:space="preserve"> platící v různé míře vedle práva převzatého z dřívějšího práva koloniálních mocností.</w:t>
      </w:r>
    </w:p>
    <w:p w:rsidR="00275E4D" w:rsidRDefault="00227222" w:rsidP="00227222">
      <w:pPr>
        <w:widowControl w:val="0"/>
        <w:jc w:val="both"/>
        <w:rPr>
          <w:rFonts w:cs="Tahoma"/>
          <w:sz w:val="20"/>
          <w:szCs w:val="20"/>
        </w:rPr>
      </w:pPr>
      <w:r w:rsidRPr="00227222">
        <w:rPr>
          <w:rFonts w:cs="Tahoma"/>
          <w:sz w:val="20"/>
          <w:szCs w:val="20"/>
          <w:u w:val="single"/>
        </w:rPr>
        <w:t>Stát</w:t>
      </w:r>
      <w:r w:rsidRPr="007B10DA">
        <w:rPr>
          <w:rFonts w:cs="Tahoma"/>
          <w:sz w:val="20"/>
          <w:szCs w:val="20"/>
        </w:rPr>
        <w:t xml:space="preserve"> v islámském pojetí není oddělen od náboženství, ale </w:t>
      </w:r>
      <w:r w:rsidRPr="00227222">
        <w:rPr>
          <w:rFonts w:cs="Tahoma"/>
          <w:sz w:val="20"/>
          <w:szCs w:val="20"/>
          <w:u w:val="single"/>
        </w:rPr>
        <w:t>je náboženstvím ovládán</w:t>
      </w:r>
      <w:r w:rsidRPr="007B10DA">
        <w:rPr>
          <w:rFonts w:cs="Tahoma"/>
          <w:sz w:val="20"/>
          <w:szCs w:val="20"/>
        </w:rPr>
        <w:t xml:space="preserve">, tvoří součást náboženského systému. Politický vývoj práva vedl k tomu, že islámské, původně teokratické státy, se změnily v moderní státy a do značné míry se emancipovali od islámu. Většina těchto států začala svoje právo </w:t>
      </w:r>
      <w:r w:rsidRPr="007B10DA">
        <w:rPr>
          <w:rFonts w:cs="Tahoma"/>
          <w:b/>
          <w:bCs/>
          <w:sz w:val="20"/>
          <w:szCs w:val="20"/>
        </w:rPr>
        <w:t>kodifikovat</w:t>
      </w:r>
      <w:r w:rsidRPr="007B10DA">
        <w:rPr>
          <w:rFonts w:cs="Tahoma"/>
          <w:sz w:val="20"/>
          <w:szCs w:val="20"/>
        </w:rPr>
        <w:t>. Právní systém islámských zemí tedy není homogenní.</w:t>
      </w:r>
      <w:r>
        <w:rPr>
          <w:rFonts w:cs="Tahoma"/>
          <w:sz w:val="20"/>
          <w:szCs w:val="20"/>
        </w:rPr>
        <w:t xml:space="preserve"> </w:t>
      </w:r>
      <w:r w:rsidRPr="007B10DA">
        <w:rPr>
          <w:rFonts w:cs="Tahoma"/>
          <w:sz w:val="20"/>
          <w:szCs w:val="20"/>
        </w:rPr>
        <w:t xml:space="preserve">To, co jej spojuje je právo islámské. </w:t>
      </w:r>
    </w:p>
    <w:p w:rsidR="00275E4D" w:rsidRDefault="00227222" w:rsidP="00227222">
      <w:pPr>
        <w:widowControl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Islámské právo se rozlišuje na právo</w:t>
      </w:r>
    </w:p>
    <w:p w:rsidR="00275E4D" w:rsidRDefault="00227222" w:rsidP="00227222">
      <w:pPr>
        <w:widowControl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b/>
          <w:bCs/>
          <w:sz w:val="20"/>
          <w:szCs w:val="20"/>
        </w:rPr>
        <w:t>sunnitské</w:t>
      </w:r>
      <w:r>
        <w:rPr>
          <w:rFonts w:cs="Tahoma"/>
          <w:b/>
          <w:bCs/>
          <w:sz w:val="20"/>
          <w:szCs w:val="20"/>
        </w:rPr>
        <w:t xml:space="preserve"> </w:t>
      </w:r>
      <w:r w:rsidRPr="007B10DA">
        <w:rPr>
          <w:rFonts w:cs="Tahoma"/>
          <w:sz w:val="20"/>
          <w:szCs w:val="20"/>
        </w:rPr>
        <w:t xml:space="preserve">(tj.ortodoxní) </w:t>
      </w:r>
      <w:r w:rsidR="00275E4D">
        <w:rPr>
          <w:rFonts w:cs="Tahoma"/>
          <w:sz w:val="20"/>
          <w:szCs w:val="20"/>
        </w:rPr>
        <w:t>– zcela převažuje v islámském světě</w:t>
      </w:r>
    </w:p>
    <w:p w:rsidR="00227222" w:rsidRDefault="00227222" w:rsidP="00227222">
      <w:pPr>
        <w:widowControl w:val="0"/>
        <w:jc w:val="both"/>
        <w:rPr>
          <w:rFonts w:cs="Tahoma"/>
          <w:sz w:val="20"/>
          <w:szCs w:val="20"/>
        </w:rPr>
      </w:pPr>
      <w:r w:rsidRPr="007B10DA">
        <w:rPr>
          <w:rFonts w:cs="Tahoma"/>
          <w:b/>
          <w:bCs/>
          <w:sz w:val="20"/>
          <w:szCs w:val="20"/>
        </w:rPr>
        <w:t>šíitské</w:t>
      </w:r>
      <w:r>
        <w:rPr>
          <w:rFonts w:cs="Tahoma"/>
          <w:b/>
          <w:bCs/>
          <w:sz w:val="20"/>
          <w:szCs w:val="20"/>
        </w:rPr>
        <w:t xml:space="preserve"> </w:t>
      </w:r>
      <w:r w:rsidRPr="007B10DA">
        <w:rPr>
          <w:rFonts w:cs="Tahoma"/>
          <w:sz w:val="20"/>
          <w:szCs w:val="20"/>
        </w:rPr>
        <w:t>(tj.heterodoxní)</w:t>
      </w:r>
      <w:r w:rsidR="00275E4D">
        <w:rPr>
          <w:rFonts w:cs="Tahoma"/>
          <w:sz w:val="20"/>
          <w:szCs w:val="20"/>
        </w:rPr>
        <w:t xml:space="preserve"> - </w:t>
      </w:r>
      <w:r w:rsidRPr="007B10DA">
        <w:rPr>
          <w:rFonts w:cs="Tahoma"/>
          <w:sz w:val="20"/>
          <w:szCs w:val="20"/>
        </w:rPr>
        <w:t xml:space="preserve">platí pouze v Íránu a Íráku </w:t>
      </w:r>
    </w:p>
    <w:p w:rsidR="00CC13CC" w:rsidRDefault="00CC13CC" w:rsidP="007B10DA">
      <w:pPr>
        <w:widowControl w:val="0"/>
        <w:tabs>
          <w:tab w:val="left" w:pos="1440"/>
        </w:tabs>
        <w:rPr>
          <w:rFonts w:cs="Tahoma"/>
          <w:sz w:val="20"/>
          <w:szCs w:val="20"/>
        </w:rPr>
      </w:pPr>
    </w:p>
    <w:p w:rsidR="00CC13CC" w:rsidRPr="007B10DA" w:rsidRDefault="00CC13CC" w:rsidP="00CC13CC">
      <w:pPr>
        <w:jc w:val="both"/>
        <w:outlineLvl w:val="0"/>
        <w:rPr>
          <w:rFonts w:cs="Tahoma"/>
          <w:b/>
          <w:sz w:val="20"/>
          <w:szCs w:val="20"/>
          <w:u w:val="single"/>
        </w:rPr>
      </w:pPr>
      <w:bookmarkStart w:id="6" w:name="_Toc155605316"/>
      <w:bookmarkStart w:id="7" w:name="_Toc155653686"/>
      <w:r w:rsidRPr="007B10DA">
        <w:rPr>
          <w:rFonts w:cs="Tahoma"/>
          <w:b/>
          <w:sz w:val="20"/>
          <w:szCs w:val="20"/>
          <w:u w:val="single"/>
        </w:rPr>
        <w:t>29b) prameny islámského práva</w:t>
      </w:r>
      <w:bookmarkEnd w:id="6"/>
      <w:bookmarkEnd w:id="7"/>
    </w:p>
    <w:p w:rsidR="00CC13CC" w:rsidRPr="007B10DA" w:rsidRDefault="00CC13CC" w:rsidP="00CC13CC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(str. 115 Teorie práva)</w:t>
      </w:r>
    </w:p>
    <w:p w:rsidR="00227222" w:rsidRPr="007B10DA" w:rsidRDefault="00227222" w:rsidP="00CC13CC">
      <w:pPr>
        <w:widowControl w:val="0"/>
        <w:jc w:val="both"/>
        <w:rPr>
          <w:rFonts w:cs="Tahoma"/>
          <w:sz w:val="20"/>
          <w:szCs w:val="20"/>
        </w:rPr>
      </w:pPr>
    </w:p>
    <w:p w:rsidR="00CC13CC" w:rsidRPr="007B10DA" w:rsidRDefault="00CC13CC" w:rsidP="00CC13CC">
      <w:pPr>
        <w:rPr>
          <w:rFonts w:cs="Tahoma"/>
          <w:b/>
          <w:bCs/>
          <w:sz w:val="20"/>
          <w:szCs w:val="20"/>
        </w:rPr>
      </w:pPr>
      <w:r w:rsidRPr="007B10DA">
        <w:rPr>
          <w:rFonts w:cs="Tahoma"/>
          <w:b/>
          <w:bCs/>
          <w:sz w:val="20"/>
          <w:szCs w:val="20"/>
        </w:rPr>
        <w:t>Formální prameny tohoto práva v našem smyslu jsou:</w:t>
      </w:r>
    </w:p>
    <w:p w:rsidR="00CC13CC" w:rsidRPr="007B10DA" w:rsidRDefault="00CC13CC" w:rsidP="00227222">
      <w:pPr>
        <w:widowControl w:val="0"/>
        <w:tabs>
          <w:tab w:val="left" w:pos="1440"/>
        </w:tabs>
        <w:ind w:left="1440" w:hanging="360"/>
        <w:jc w:val="both"/>
        <w:rPr>
          <w:rFonts w:cs="Tahoma"/>
          <w:sz w:val="20"/>
          <w:szCs w:val="20"/>
        </w:rPr>
      </w:pPr>
      <w:r w:rsidRPr="007B10DA">
        <w:rPr>
          <w:rFonts w:cs="Tahoma"/>
          <w:b/>
          <w:bCs/>
          <w:sz w:val="20"/>
          <w:szCs w:val="20"/>
        </w:rPr>
        <w:t xml:space="preserve">korán – </w:t>
      </w:r>
      <w:r w:rsidR="00E96CB5" w:rsidRPr="007B10DA">
        <w:rPr>
          <w:rFonts w:cs="Tahoma"/>
          <w:sz w:val="20"/>
          <w:szCs w:val="20"/>
        </w:rPr>
        <w:t xml:space="preserve">velmi málo </w:t>
      </w:r>
      <w:r w:rsidRPr="007B10DA">
        <w:rPr>
          <w:rFonts w:cs="Tahoma"/>
          <w:sz w:val="20"/>
          <w:szCs w:val="20"/>
        </w:rPr>
        <w:t xml:space="preserve">pravidel právního charakteru </w:t>
      </w:r>
    </w:p>
    <w:p w:rsidR="00CC13CC" w:rsidRPr="007B10DA" w:rsidRDefault="00CC13CC" w:rsidP="00227222">
      <w:pPr>
        <w:widowControl w:val="0"/>
        <w:tabs>
          <w:tab w:val="left" w:pos="1440"/>
        </w:tabs>
        <w:ind w:left="1440" w:hanging="360"/>
        <w:jc w:val="both"/>
        <w:rPr>
          <w:rFonts w:cs="Tahoma"/>
          <w:sz w:val="20"/>
          <w:szCs w:val="20"/>
        </w:rPr>
      </w:pPr>
      <w:r w:rsidRPr="007B10DA">
        <w:rPr>
          <w:rFonts w:cs="Tahoma"/>
          <w:b/>
          <w:bCs/>
          <w:sz w:val="20"/>
          <w:szCs w:val="20"/>
        </w:rPr>
        <w:t>sunna –</w:t>
      </w:r>
      <w:r w:rsidRPr="007B10DA">
        <w:rPr>
          <w:rFonts w:cs="Tahoma"/>
          <w:sz w:val="20"/>
          <w:szCs w:val="20"/>
        </w:rPr>
        <w:t xml:space="preserve"> tradice o skutcích a výrocích připisovaných prorokovi</w:t>
      </w:r>
    </w:p>
    <w:p w:rsidR="00CC13CC" w:rsidRPr="007B10DA" w:rsidRDefault="00CC13CC" w:rsidP="00227222">
      <w:pPr>
        <w:widowControl w:val="0"/>
        <w:tabs>
          <w:tab w:val="left" w:pos="1440"/>
        </w:tabs>
        <w:ind w:left="1440" w:hanging="360"/>
        <w:jc w:val="both"/>
        <w:rPr>
          <w:rFonts w:cs="Tahoma"/>
          <w:sz w:val="20"/>
          <w:szCs w:val="20"/>
        </w:rPr>
      </w:pPr>
      <w:r w:rsidRPr="007B10DA">
        <w:rPr>
          <w:rFonts w:cs="Tahoma"/>
          <w:b/>
          <w:bCs/>
          <w:sz w:val="20"/>
          <w:szCs w:val="20"/>
        </w:rPr>
        <w:t>idžmá –</w:t>
      </w:r>
      <w:r w:rsidRPr="007B10DA">
        <w:rPr>
          <w:rFonts w:cs="Tahoma"/>
          <w:sz w:val="20"/>
          <w:szCs w:val="20"/>
        </w:rPr>
        <w:t xml:space="preserve"> srovnatelná s pojmem právního vědomí islámského společenství</w:t>
      </w:r>
    </w:p>
    <w:p w:rsidR="00CC13CC" w:rsidRPr="007B10DA" w:rsidRDefault="00CC13CC" w:rsidP="00227222">
      <w:pPr>
        <w:widowControl w:val="0"/>
        <w:ind w:left="1800" w:hanging="720"/>
        <w:jc w:val="both"/>
        <w:rPr>
          <w:rFonts w:cs="Tahoma"/>
          <w:sz w:val="20"/>
          <w:szCs w:val="20"/>
        </w:rPr>
      </w:pPr>
      <w:r w:rsidRPr="007B10DA">
        <w:rPr>
          <w:rFonts w:cs="Tahoma"/>
          <w:b/>
          <w:bCs/>
          <w:sz w:val="20"/>
          <w:szCs w:val="20"/>
        </w:rPr>
        <w:t>kijás –</w:t>
      </w:r>
      <w:r w:rsidRPr="007B10DA">
        <w:rPr>
          <w:rFonts w:cs="Tahoma"/>
          <w:sz w:val="20"/>
          <w:szCs w:val="20"/>
        </w:rPr>
        <w:t xml:space="preserve"> tzv.analogie</w:t>
      </w:r>
      <w:r w:rsidR="00E96CB5">
        <w:rPr>
          <w:rFonts w:cs="Tahoma"/>
          <w:sz w:val="20"/>
          <w:szCs w:val="20"/>
        </w:rPr>
        <w:t xml:space="preserve"> </w:t>
      </w:r>
      <w:r w:rsidRPr="007B10DA">
        <w:rPr>
          <w:rFonts w:cs="Tahoma"/>
          <w:sz w:val="20"/>
          <w:szCs w:val="20"/>
        </w:rPr>
        <w:t xml:space="preserve">(doslova znamená rozumové uvažování), kterým jsou doplňovány mezery v základních </w:t>
      </w:r>
      <w:r w:rsidR="00227222">
        <w:rPr>
          <w:rFonts w:cs="Tahoma"/>
          <w:sz w:val="20"/>
          <w:szCs w:val="20"/>
        </w:rPr>
        <w:t xml:space="preserve">  </w:t>
      </w:r>
      <w:r w:rsidRPr="007B10DA">
        <w:rPr>
          <w:rFonts w:cs="Tahoma"/>
          <w:sz w:val="20"/>
          <w:szCs w:val="20"/>
        </w:rPr>
        <w:t>právních pramenech</w:t>
      </w:r>
    </w:p>
    <w:p w:rsidR="00CC13CC" w:rsidRPr="007B10DA" w:rsidRDefault="00CC13CC" w:rsidP="007B10DA">
      <w:pPr>
        <w:widowControl w:val="0"/>
        <w:tabs>
          <w:tab w:val="left" w:pos="1440"/>
        </w:tabs>
        <w:rPr>
          <w:rFonts w:cs="Tahoma"/>
          <w:sz w:val="20"/>
          <w:szCs w:val="20"/>
        </w:rPr>
      </w:pPr>
    </w:p>
    <w:p w:rsidR="007B10DA" w:rsidRPr="002D766F" w:rsidRDefault="007B10DA" w:rsidP="002D766F">
      <w:pPr>
        <w:pStyle w:val="Nadpis1"/>
        <w:rPr>
          <w:rFonts w:ascii="Tahoma" w:hAnsi="Tahoma" w:cs="Tahoma"/>
          <w:sz w:val="20"/>
          <w:szCs w:val="20"/>
          <w:u w:val="single"/>
        </w:rPr>
      </w:pPr>
      <w:bookmarkStart w:id="8" w:name="_Toc155605314"/>
      <w:bookmarkStart w:id="9" w:name="_Toc155653687"/>
      <w:r w:rsidRPr="002D766F">
        <w:rPr>
          <w:rFonts w:ascii="Tahoma" w:hAnsi="Tahoma" w:cs="Tahoma"/>
          <w:sz w:val="20"/>
          <w:szCs w:val="20"/>
          <w:u w:val="single"/>
        </w:rPr>
        <w:t>13b) právní kultura angloamerická</w:t>
      </w:r>
      <w:bookmarkEnd w:id="8"/>
      <w:bookmarkEnd w:id="9"/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(str. 114 Teorie Práva)</w:t>
      </w:r>
    </w:p>
    <w:p w:rsidR="007B10DA" w:rsidRPr="007B10DA" w:rsidRDefault="007B10DA" w:rsidP="00261473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 xml:space="preserve">Systém je </w:t>
      </w:r>
      <w:r w:rsidRPr="00261473">
        <w:rPr>
          <w:rFonts w:cs="Tahoma"/>
          <w:b/>
          <w:sz w:val="20"/>
          <w:szCs w:val="20"/>
        </w:rPr>
        <w:t>založen na právních precedentech</w:t>
      </w:r>
      <w:r w:rsidRPr="007B10DA">
        <w:rPr>
          <w:rFonts w:cs="Tahoma"/>
          <w:sz w:val="20"/>
          <w:szCs w:val="20"/>
        </w:rPr>
        <w:t xml:space="preserve">. </w:t>
      </w:r>
    </w:p>
    <w:p w:rsidR="007B10DA" w:rsidRPr="007B10DA" w:rsidRDefault="007B10DA" w:rsidP="00261473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 xml:space="preserve">Vznikl v Anglii a původně byl nazýván systémem </w:t>
      </w:r>
      <w:r w:rsidRPr="00261473">
        <w:rPr>
          <w:rFonts w:cs="Tahoma"/>
          <w:b/>
          <w:sz w:val="20"/>
          <w:szCs w:val="20"/>
        </w:rPr>
        <w:t>common law</w:t>
      </w:r>
      <w:r w:rsidRPr="007B10DA">
        <w:rPr>
          <w:rFonts w:cs="Tahoma"/>
          <w:sz w:val="20"/>
          <w:szCs w:val="20"/>
        </w:rPr>
        <w:t xml:space="preserve">. </w:t>
      </w:r>
      <w:r w:rsidRPr="00261473">
        <w:rPr>
          <w:rFonts w:cs="Tahoma"/>
          <w:sz w:val="20"/>
          <w:szCs w:val="20"/>
          <w:u w:val="single"/>
        </w:rPr>
        <w:t>Není dělen na právo soukromé a veřejné.</w:t>
      </w:r>
      <w:r w:rsidRPr="007B10DA">
        <w:rPr>
          <w:rFonts w:cs="Tahoma"/>
          <w:sz w:val="20"/>
          <w:szCs w:val="20"/>
        </w:rPr>
        <w:t xml:space="preserve"> Bývá členěn na okruhy práva anglického, práva USA, práva kanadského, australského apod. </w:t>
      </w:r>
      <w:r w:rsidRPr="00261473">
        <w:rPr>
          <w:rFonts w:cs="Tahoma"/>
          <w:b/>
          <w:sz w:val="20"/>
          <w:szCs w:val="20"/>
        </w:rPr>
        <w:t>Soudce</w:t>
      </w:r>
      <w:r w:rsidRPr="007B10DA">
        <w:rPr>
          <w:rFonts w:cs="Tahoma"/>
          <w:sz w:val="20"/>
          <w:szCs w:val="20"/>
        </w:rPr>
        <w:t xml:space="preserve"> má zvláštní postavení – </w:t>
      </w:r>
      <w:r w:rsidRPr="00261473">
        <w:rPr>
          <w:rFonts w:cs="Tahoma"/>
          <w:b/>
          <w:sz w:val="20"/>
          <w:szCs w:val="20"/>
        </w:rPr>
        <w:t>právo</w:t>
      </w:r>
      <w:r w:rsidRPr="007B10DA">
        <w:rPr>
          <w:rFonts w:cs="Tahoma"/>
          <w:sz w:val="20"/>
          <w:szCs w:val="20"/>
        </w:rPr>
        <w:t xml:space="preserve"> nejen </w:t>
      </w:r>
      <w:r w:rsidRPr="00261473">
        <w:rPr>
          <w:rFonts w:cs="Tahoma"/>
          <w:b/>
          <w:sz w:val="20"/>
          <w:szCs w:val="20"/>
        </w:rPr>
        <w:t>nalézá</w:t>
      </w:r>
      <w:r w:rsidRPr="007B10DA">
        <w:rPr>
          <w:rFonts w:cs="Tahoma"/>
          <w:sz w:val="20"/>
          <w:szCs w:val="20"/>
        </w:rPr>
        <w:t xml:space="preserve">, ale i </w:t>
      </w:r>
      <w:r w:rsidRPr="00261473">
        <w:rPr>
          <w:rFonts w:cs="Tahoma"/>
          <w:b/>
          <w:sz w:val="20"/>
          <w:szCs w:val="20"/>
        </w:rPr>
        <w:t>tvoří</w:t>
      </w:r>
      <w:r w:rsidRPr="007B10DA">
        <w:rPr>
          <w:rFonts w:cs="Tahoma"/>
          <w:sz w:val="20"/>
          <w:szCs w:val="20"/>
        </w:rPr>
        <w:t>. Jde o tzv. obecné právo tvořené soudními precedenty a obyčejovým právem ve Velké Británii.</w:t>
      </w:r>
    </w:p>
    <w:p w:rsidR="007B10DA" w:rsidRPr="007B10DA" w:rsidRDefault="007B10DA" w:rsidP="00261473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lastRenderedPageBreak/>
        <w:t>Vedle common law (ve smyslu obecného práva)</w:t>
      </w:r>
      <w:r w:rsidR="00261473">
        <w:rPr>
          <w:rFonts w:cs="Tahoma"/>
          <w:sz w:val="20"/>
          <w:szCs w:val="20"/>
        </w:rPr>
        <w:t xml:space="preserve"> </w:t>
      </w:r>
      <w:r w:rsidRPr="007B10DA">
        <w:rPr>
          <w:rFonts w:cs="Tahoma"/>
          <w:sz w:val="20"/>
          <w:szCs w:val="20"/>
        </w:rPr>
        <w:t>existuje a má rostoucí význam i statutární právo</w:t>
      </w:r>
      <w:r w:rsidR="00261473">
        <w:rPr>
          <w:rFonts w:cs="Tahoma"/>
          <w:sz w:val="20"/>
          <w:szCs w:val="20"/>
        </w:rPr>
        <w:t xml:space="preserve"> </w:t>
      </w:r>
      <w:r w:rsidRPr="007B10DA">
        <w:rPr>
          <w:rFonts w:cs="Tahoma"/>
          <w:sz w:val="20"/>
          <w:szCs w:val="20"/>
        </w:rPr>
        <w:t>(statute law), tvořené zákony a dalšími právními předpisy.</w:t>
      </w:r>
    </w:p>
    <w:p w:rsidR="007B10DA" w:rsidRPr="007B10DA" w:rsidRDefault="007B10DA" w:rsidP="00261473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V USA se vychází z psané ústavy a právní obyčeje nejsou pramenem práva.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</w:p>
    <w:p w:rsidR="007B10DA" w:rsidRPr="00261473" w:rsidRDefault="007B10DA" w:rsidP="002D766F">
      <w:pPr>
        <w:rPr>
          <w:rFonts w:cs="Tahoma"/>
          <w:b/>
          <w:sz w:val="20"/>
          <w:szCs w:val="20"/>
        </w:rPr>
      </w:pPr>
      <w:r w:rsidRPr="00261473">
        <w:rPr>
          <w:rFonts w:cs="Tahoma"/>
          <w:b/>
          <w:sz w:val="20"/>
          <w:szCs w:val="20"/>
        </w:rPr>
        <w:t>Prameny práv</w:t>
      </w:r>
      <w:r w:rsidR="00261473" w:rsidRPr="00261473">
        <w:rPr>
          <w:rFonts w:cs="Tahoma"/>
          <w:b/>
          <w:sz w:val="20"/>
          <w:szCs w:val="20"/>
        </w:rPr>
        <w:t>a</w:t>
      </w:r>
      <w:r w:rsidRPr="00261473">
        <w:rPr>
          <w:rFonts w:cs="Tahoma"/>
          <w:b/>
          <w:sz w:val="20"/>
          <w:szCs w:val="20"/>
        </w:rPr>
        <w:t xml:space="preserve"> anglické</w:t>
      </w:r>
      <w:r w:rsidR="00261473" w:rsidRPr="00261473">
        <w:rPr>
          <w:rFonts w:cs="Tahoma"/>
          <w:b/>
          <w:sz w:val="20"/>
          <w:szCs w:val="20"/>
        </w:rPr>
        <w:t>ho</w:t>
      </w:r>
      <w:r w:rsidRPr="00261473">
        <w:rPr>
          <w:rFonts w:cs="Tahoma"/>
          <w:b/>
          <w:sz w:val="20"/>
          <w:szCs w:val="20"/>
        </w:rPr>
        <w:t>:</w:t>
      </w:r>
    </w:p>
    <w:p w:rsidR="007B10DA" w:rsidRPr="00261473" w:rsidRDefault="007B10DA" w:rsidP="007B10DA">
      <w:pPr>
        <w:rPr>
          <w:rFonts w:cs="Tahoma"/>
          <w:b/>
          <w:sz w:val="20"/>
          <w:szCs w:val="20"/>
        </w:rPr>
      </w:pPr>
      <w:r w:rsidRPr="00261473">
        <w:rPr>
          <w:rFonts w:cs="Tahoma"/>
          <w:b/>
          <w:sz w:val="20"/>
          <w:szCs w:val="20"/>
        </w:rPr>
        <w:tab/>
        <w:t>právo soudcovské(rozlišuje se na Common law a Equity)</w:t>
      </w:r>
    </w:p>
    <w:p w:rsidR="007B10DA" w:rsidRPr="00261473" w:rsidRDefault="007B10DA" w:rsidP="007B10DA">
      <w:pPr>
        <w:rPr>
          <w:rFonts w:cs="Tahoma"/>
          <w:b/>
          <w:sz w:val="20"/>
          <w:szCs w:val="20"/>
        </w:rPr>
      </w:pPr>
      <w:r w:rsidRPr="00261473">
        <w:rPr>
          <w:rFonts w:cs="Tahoma"/>
          <w:b/>
          <w:sz w:val="20"/>
          <w:szCs w:val="20"/>
        </w:rPr>
        <w:tab/>
        <w:t>právo zákonné</w:t>
      </w:r>
      <w:r w:rsidR="00261473" w:rsidRPr="00261473">
        <w:rPr>
          <w:rFonts w:cs="Tahoma"/>
          <w:b/>
          <w:sz w:val="20"/>
          <w:szCs w:val="20"/>
        </w:rPr>
        <w:t xml:space="preserve"> (</w:t>
      </w:r>
      <w:r w:rsidRPr="00261473">
        <w:rPr>
          <w:rFonts w:cs="Tahoma"/>
          <w:b/>
          <w:sz w:val="20"/>
          <w:szCs w:val="20"/>
        </w:rPr>
        <w:t>psané</w:t>
      </w:r>
      <w:r w:rsidR="00261473" w:rsidRPr="00261473">
        <w:rPr>
          <w:rFonts w:cs="Tahoma"/>
          <w:b/>
          <w:sz w:val="20"/>
          <w:szCs w:val="20"/>
        </w:rPr>
        <w:t>)</w:t>
      </w:r>
    </w:p>
    <w:p w:rsidR="007B10DA" w:rsidRPr="00261473" w:rsidRDefault="007B10DA" w:rsidP="007B10DA">
      <w:pPr>
        <w:rPr>
          <w:rFonts w:cs="Tahoma"/>
          <w:b/>
          <w:sz w:val="20"/>
          <w:szCs w:val="20"/>
        </w:rPr>
      </w:pPr>
      <w:r w:rsidRPr="00261473">
        <w:rPr>
          <w:rFonts w:cs="Tahoma"/>
          <w:b/>
          <w:sz w:val="20"/>
          <w:szCs w:val="20"/>
        </w:rPr>
        <w:tab/>
        <w:t>právo obyčejové</w:t>
      </w:r>
    </w:p>
    <w:p w:rsidR="007B10DA" w:rsidRPr="00261473" w:rsidRDefault="007B10DA" w:rsidP="007B10DA">
      <w:pPr>
        <w:rPr>
          <w:rFonts w:cs="Tahoma"/>
          <w:b/>
          <w:sz w:val="20"/>
          <w:szCs w:val="20"/>
        </w:rPr>
      </w:pPr>
      <w:r w:rsidRPr="00261473">
        <w:rPr>
          <w:rFonts w:cs="Tahoma"/>
          <w:b/>
          <w:sz w:val="20"/>
          <w:szCs w:val="20"/>
        </w:rPr>
        <w:tab/>
        <w:t>právní literatura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</w:p>
    <w:p w:rsidR="007B10DA" w:rsidRPr="007B10DA" w:rsidRDefault="007B10DA" w:rsidP="00261473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 xml:space="preserve">Common Law </w:t>
      </w:r>
      <w:r w:rsidR="00261473">
        <w:rPr>
          <w:rFonts w:cs="Tahoma"/>
          <w:sz w:val="20"/>
          <w:szCs w:val="20"/>
        </w:rPr>
        <w:t>(</w:t>
      </w:r>
      <w:r w:rsidRPr="007B10DA">
        <w:rPr>
          <w:rFonts w:cs="Tahoma"/>
          <w:sz w:val="20"/>
          <w:szCs w:val="20"/>
        </w:rPr>
        <w:t>obecné právo</w:t>
      </w:r>
      <w:r w:rsidR="00261473">
        <w:rPr>
          <w:rFonts w:cs="Tahoma"/>
          <w:sz w:val="20"/>
          <w:szCs w:val="20"/>
        </w:rPr>
        <w:t>)</w:t>
      </w:r>
      <w:r w:rsidRPr="007B10DA">
        <w:rPr>
          <w:rFonts w:cs="Tahoma"/>
          <w:sz w:val="20"/>
          <w:szCs w:val="20"/>
        </w:rPr>
        <w:t xml:space="preserve"> se počalo vyvíjet za vlády Jindřicha II.(1154-1189) a bylo právem, které aplikovali královské soudy. Obrátit se na soud však ve středověku nebylo právem občana, ale jeho privilegiem. Později se vytvořil systém těchto výsad</w:t>
      </w:r>
      <w:r w:rsidR="00261473">
        <w:rPr>
          <w:rFonts w:cs="Tahoma"/>
          <w:sz w:val="20"/>
          <w:szCs w:val="20"/>
        </w:rPr>
        <w:t xml:space="preserve"> </w:t>
      </w:r>
      <w:r w:rsidRPr="007B10DA">
        <w:rPr>
          <w:rFonts w:cs="Tahoma"/>
          <w:sz w:val="20"/>
          <w:szCs w:val="20"/>
        </w:rPr>
        <w:t>(zvaných writ) pro určité skupiny případů. Společenský a hospodářský život byl značně bržděn spory, pro které nebyl vytvořen writ. Lidé se v těchto případech museli obracet na krále, který rozhodování těchto sp</w:t>
      </w:r>
      <w:r w:rsidR="00261473">
        <w:rPr>
          <w:rFonts w:cs="Tahoma"/>
          <w:sz w:val="20"/>
          <w:szCs w:val="20"/>
        </w:rPr>
        <w:t xml:space="preserve">orů svěřoval </w:t>
      </w:r>
      <w:r w:rsidRPr="007B10DA">
        <w:rPr>
          <w:rFonts w:cs="Tahoma"/>
          <w:sz w:val="20"/>
          <w:szCs w:val="20"/>
        </w:rPr>
        <w:t>vysokému kancléři – zde byl založen základ rozhodování podle equity</w:t>
      </w:r>
      <w:r w:rsidR="00261473">
        <w:rPr>
          <w:rFonts w:cs="Tahoma"/>
          <w:sz w:val="20"/>
          <w:szCs w:val="20"/>
        </w:rPr>
        <w:t xml:space="preserve"> (spravedlnosti).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</w:p>
    <w:p w:rsidR="007B10DA" w:rsidRPr="007B10DA" w:rsidRDefault="007B10DA" w:rsidP="00261473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Prameny práva USA</w:t>
      </w:r>
    </w:p>
    <w:p w:rsidR="007B10DA" w:rsidRPr="007B10DA" w:rsidRDefault="007B10DA" w:rsidP="00261473">
      <w:pPr>
        <w:jc w:val="both"/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Anglický právní systém se na území dnešních USA rozšířil cestou kolonizace. Vlivem vývoje i odlišných podmínek se udržel historický základ z anglického práva, ale v dalších kritériích se právní systém USA od právního systému anglického v některých hlediscích značně odchýlil.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</w:p>
    <w:p w:rsidR="007B10DA" w:rsidRPr="00261473" w:rsidRDefault="00261473" w:rsidP="007B10DA">
      <w:pPr>
        <w:rPr>
          <w:rFonts w:cs="Tahoma"/>
          <w:b/>
          <w:sz w:val="20"/>
          <w:szCs w:val="20"/>
        </w:rPr>
      </w:pPr>
      <w:r w:rsidRPr="00261473">
        <w:rPr>
          <w:rFonts w:cs="Tahoma"/>
          <w:b/>
          <w:sz w:val="20"/>
          <w:szCs w:val="20"/>
        </w:rPr>
        <w:t>Prameny práva</w:t>
      </w:r>
      <w:r>
        <w:rPr>
          <w:rFonts w:cs="Tahoma"/>
          <w:b/>
          <w:sz w:val="20"/>
          <w:szCs w:val="20"/>
        </w:rPr>
        <w:t xml:space="preserve"> </w:t>
      </w:r>
      <w:r w:rsidRPr="00261473">
        <w:rPr>
          <w:rFonts w:cs="Tahoma"/>
          <w:b/>
          <w:sz w:val="20"/>
          <w:szCs w:val="20"/>
        </w:rPr>
        <w:t>USA</w:t>
      </w:r>
    </w:p>
    <w:p w:rsidR="007B10DA" w:rsidRPr="00261473" w:rsidRDefault="007B10DA" w:rsidP="007B10DA">
      <w:pPr>
        <w:rPr>
          <w:rFonts w:cs="Tahoma"/>
          <w:b/>
          <w:sz w:val="20"/>
          <w:szCs w:val="20"/>
        </w:rPr>
      </w:pPr>
      <w:r w:rsidRPr="00261473">
        <w:rPr>
          <w:rFonts w:cs="Tahoma"/>
          <w:b/>
          <w:sz w:val="20"/>
          <w:szCs w:val="20"/>
        </w:rPr>
        <w:tab/>
        <w:t>právo soudcovské</w:t>
      </w:r>
    </w:p>
    <w:p w:rsidR="007B10DA" w:rsidRPr="00261473" w:rsidRDefault="007B10DA" w:rsidP="007B10DA">
      <w:pPr>
        <w:rPr>
          <w:rFonts w:cs="Tahoma"/>
          <w:b/>
          <w:sz w:val="20"/>
          <w:szCs w:val="20"/>
        </w:rPr>
      </w:pPr>
      <w:r w:rsidRPr="00261473">
        <w:rPr>
          <w:rFonts w:cs="Tahoma"/>
          <w:b/>
          <w:sz w:val="20"/>
          <w:szCs w:val="20"/>
        </w:rPr>
        <w:tab/>
        <w:t>zákonodárství</w:t>
      </w:r>
    </w:p>
    <w:p w:rsidR="007B10DA" w:rsidRPr="007B10DA" w:rsidRDefault="007B10DA" w:rsidP="007B10DA">
      <w:pPr>
        <w:rPr>
          <w:rFonts w:cs="Tahoma"/>
          <w:sz w:val="20"/>
          <w:szCs w:val="20"/>
        </w:rPr>
      </w:pPr>
    </w:p>
    <w:p w:rsidR="00261473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Převzetí soudcovské tvorby práva je tedy nejvýznamnějším pojítkem právních systémů Anglie a USA.</w:t>
      </w:r>
    </w:p>
    <w:p w:rsidR="007B10DA" w:rsidRPr="007B10DA" w:rsidRDefault="00261473" w:rsidP="007B10DA">
      <w:pPr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V</w:t>
      </w:r>
      <w:r w:rsidR="007B10DA" w:rsidRPr="007B10DA">
        <w:rPr>
          <w:rFonts w:cs="Tahoma"/>
          <w:sz w:val="20"/>
          <w:szCs w:val="20"/>
        </w:rPr>
        <w:t> USA je podíl i význam zákonného práva znatelně větší než v Anglii.</w:t>
      </w:r>
    </w:p>
    <w:p w:rsidR="007B10DA" w:rsidRPr="002D766F" w:rsidRDefault="007B10DA" w:rsidP="002D766F">
      <w:pPr>
        <w:pStyle w:val="Nadpis1"/>
        <w:rPr>
          <w:rFonts w:ascii="Tahoma" w:hAnsi="Tahoma" w:cs="Tahoma"/>
          <w:sz w:val="20"/>
          <w:szCs w:val="20"/>
          <w:u w:val="single"/>
        </w:rPr>
      </w:pPr>
      <w:bookmarkStart w:id="10" w:name="_Toc155605315"/>
      <w:bookmarkStart w:id="11" w:name="_Toc155653688"/>
      <w:r w:rsidRPr="002D766F">
        <w:rPr>
          <w:rFonts w:ascii="Tahoma" w:hAnsi="Tahoma" w:cs="Tahoma"/>
          <w:sz w:val="20"/>
          <w:szCs w:val="20"/>
          <w:u w:val="single"/>
        </w:rPr>
        <w:t>14b) právní kultura kontinentální</w:t>
      </w:r>
      <w:bookmarkEnd w:id="10"/>
      <w:bookmarkEnd w:id="11"/>
    </w:p>
    <w:p w:rsidR="007B10DA" w:rsidRPr="007B10DA" w:rsidRDefault="007B10DA" w:rsidP="007B10DA">
      <w:pPr>
        <w:rPr>
          <w:rFonts w:cs="Tahoma"/>
          <w:sz w:val="20"/>
          <w:szCs w:val="20"/>
        </w:rPr>
      </w:pPr>
      <w:r w:rsidRPr="007B10DA">
        <w:rPr>
          <w:rFonts w:cs="Tahoma"/>
          <w:sz w:val="20"/>
          <w:szCs w:val="20"/>
        </w:rPr>
        <w:t>(str. 113 Teorie práva)</w:t>
      </w:r>
    </w:p>
    <w:p w:rsidR="005E55DB" w:rsidRDefault="007B10DA" w:rsidP="007B10DA">
      <w:pPr>
        <w:jc w:val="both"/>
        <w:rPr>
          <w:rFonts w:cs="Tahoma"/>
          <w:bCs/>
          <w:sz w:val="20"/>
          <w:szCs w:val="20"/>
        </w:rPr>
      </w:pPr>
      <w:r w:rsidRPr="007B10DA">
        <w:rPr>
          <w:rFonts w:cs="Tahoma"/>
          <w:bCs/>
          <w:sz w:val="20"/>
          <w:szCs w:val="20"/>
        </w:rPr>
        <w:t>Právní kultura  je jeden z projevů míry vyspělosti lidské civilizace</w:t>
      </w:r>
      <w:r w:rsidR="005E55DB">
        <w:rPr>
          <w:rFonts w:cs="Tahoma"/>
          <w:bCs/>
          <w:sz w:val="20"/>
          <w:szCs w:val="20"/>
        </w:rPr>
        <w:t>.</w:t>
      </w:r>
    </w:p>
    <w:p w:rsidR="007B10DA" w:rsidRPr="007B10DA" w:rsidRDefault="005E55DB" w:rsidP="007B10DA">
      <w:pPr>
        <w:jc w:val="both"/>
        <w:rPr>
          <w:rFonts w:cs="Tahoma"/>
          <w:bCs/>
          <w:sz w:val="20"/>
          <w:szCs w:val="20"/>
        </w:rPr>
      </w:pPr>
      <w:r>
        <w:rPr>
          <w:rFonts w:cs="Tahoma"/>
          <w:bCs/>
          <w:sz w:val="20"/>
          <w:szCs w:val="20"/>
        </w:rPr>
        <w:t>P</w:t>
      </w:r>
      <w:r w:rsidR="007B10DA" w:rsidRPr="007B10DA">
        <w:rPr>
          <w:rFonts w:cs="Tahoma"/>
          <w:bCs/>
          <w:sz w:val="20"/>
          <w:szCs w:val="20"/>
        </w:rPr>
        <w:t>osuzujeme podle úrovně tvorby, interpretace a aplikace práva, způsob tvorby, interpretace a aplikace právních norem, tedy i právní systém se všemi jeho specifiky.</w:t>
      </w:r>
    </w:p>
    <w:p w:rsidR="005E55DB" w:rsidRDefault="007B10DA" w:rsidP="007B10DA">
      <w:pPr>
        <w:jc w:val="both"/>
        <w:rPr>
          <w:rFonts w:cs="Tahoma"/>
          <w:bCs/>
          <w:sz w:val="20"/>
          <w:szCs w:val="20"/>
        </w:rPr>
      </w:pPr>
      <w:r w:rsidRPr="007B10DA">
        <w:rPr>
          <w:rFonts w:cs="Tahoma"/>
          <w:bCs/>
          <w:sz w:val="20"/>
          <w:szCs w:val="20"/>
        </w:rPr>
        <w:t xml:space="preserve">Kontinentální typ právní kultury se vytvořil pod vlivem římskoprávní tradice a přirozenoprávní teorie na přelomu </w:t>
      </w:r>
      <w:smartTag w:uri="urn:schemas-microsoft-com:office:smarttags" w:element="metricconverter">
        <w:smartTagPr>
          <w:attr w:name="ProductID" w:val="18 a"/>
        </w:smartTagPr>
        <w:r w:rsidRPr="007B10DA">
          <w:rPr>
            <w:rFonts w:cs="Tahoma"/>
            <w:bCs/>
            <w:sz w:val="20"/>
            <w:szCs w:val="20"/>
          </w:rPr>
          <w:t>18 a</w:t>
        </w:r>
      </w:smartTag>
      <w:r w:rsidRPr="007B10DA">
        <w:rPr>
          <w:rFonts w:cs="Tahoma"/>
          <w:bCs/>
          <w:sz w:val="20"/>
          <w:szCs w:val="20"/>
        </w:rPr>
        <w:t xml:space="preserve"> 19 století. Rozšířeno je nejen v kontinentální Evropě, ale i ve většině států světa. </w:t>
      </w:r>
      <w:r w:rsidRPr="005E55DB">
        <w:rPr>
          <w:rFonts w:cs="Tahoma"/>
          <w:bCs/>
          <w:sz w:val="20"/>
          <w:szCs w:val="20"/>
          <w:u w:val="single"/>
        </w:rPr>
        <w:t>Právní řád ČR patří k okruhu románsko-germánskému.</w:t>
      </w:r>
      <w:r w:rsidRPr="007B10DA">
        <w:rPr>
          <w:rFonts w:cs="Tahoma"/>
          <w:bCs/>
          <w:sz w:val="20"/>
          <w:szCs w:val="20"/>
        </w:rPr>
        <w:t xml:space="preserve"> Vyznačuje se zejména důrazem na tzv. </w:t>
      </w:r>
      <w:r w:rsidRPr="005E55DB">
        <w:rPr>
          <w:rFonts w:cs="Tahoma"/>
          <w:b/>
          <w:bCs/>
          <w:sz w:val="20"/>
          <w:szCs w:val="20"/>
        </w:rPr>
        <w:t>psané právo</w:t>
      </w:r>
      <w:r w:rsidRPr="007B10DA">
        <w:rPr>
          <w:rFonts w:cs="Tahoma"/>
          <w:bCs/>
          <w:sz w:val="20"/>
          <w:szCs w:val="20"/>
        </w:rPr>
        <w:t xml:space="preserve">. </w:t>
      </w:r>
    </w:p>
    <w:p w:rsidR="005E55DB" w:rsidRDefault="007B10DA" w:rsidP="007B10DA">
      <w:pPr>
        <w:jc w:val="both"/>
        <w:rPr>
          <w:rFonts w:cs="Tahoma"/>
          <w:bCs/>
          <w:sz w:val="20"/>
          <w:szCs w:val="20"/>
        </w:rPr>
      </w:pPr>
      <w:r w:rsidRPr="005E55DB">
        <w:rPr>
          <w:rFonts w:cs="Tahoma"/>
          <w:b/>
          <w:bCs/>
          <w:sz w:val="20"/>
          <w:szCs w:val="20"/>
        </w:rPr>
        <w:t>Základním pramenem práva v kontinentálním typu právní kultury je zákon</w:t>
      </w:r>
      <w:r w:rsidRPr="007B10DA">
        <w:rPr>
          <w:rFonts w:cs="Tahoma"/>
          <w:bCs/>
          <w:sz w:val="20"/>
          <w:szCs w:val="20"/>
        </w:rPr>
        <w:t xml:space="preserve">. </w:t>
      </w:r>
    </w:p>
    <w:p w:rsidR="007B10DA" w:rsidRPr="007B10DA" w:rsidRDefault="007B10DA" w:rsidP="007B10DA">
      <w:pPr>
        <w:jc w:val="both"/>
        <w:rPr>
          <w:rFonts w:cs="Tahoma"/>
          <w:bCs/>
          <w:sz w:val="20"/>
          <w:szCs w:val="20"/>
        </w:rPr>
      </w:pPr>
      <w:r w:rsidRPr="007B10DA">
        <w:rPr>
          <w:rFonts w:cs="Tahoma"/>
          <w:bCs/>
          <w:sz w:val="20"/>
          <w:szCs w:val="20"/>
        </w:rPr>
        <w:t xml:space="preserve">Má právní terminologii, </w:t>
      </w:r>
      <w:r w:rsidRPr="005E55DB">
        <w:rPr>
          <w:rFonts w:cs="Tahoma"/>
          <w:b/>
          <w:bCs/>
          <w:sz w:val="20"/>
          <w:szCs w:val="20"/>
        </w:rPr>
        <w:t>dělí se na právo soukromé a právo veřejné</w:t>
      </w:r>
      <w:r w:rsidRPr="007B10DA">
        <w:rPr>
          <w:rFonts w:cs="Tahoma"/>
          <w:bCs/>
          <w:sz w:val="20"/>
          <w:szCs w:val="20"/>
        </w:rPr>
        <w:t>.</w:t>
      </w:r>
    </w:p>
    <w:p w:rsidR="007B10DA" w:rsidRDefault="007B10DA" w:rsidP="007B10DA">
      <w:pPr>
        <w:jc w:val="both"/>
        <w:rPr>
          <w:rFonts w:cs="Tahoma"/>
          <w:bCs/>
          <w:sz w:val="20"/>
          <w:szCs w:val="20"/>
        </w:rPr>
      </w:pPr>
      <w:r w:rsidRPr="007B10DA">
        <w:rPr>
          <w:rFonts w:cs="Tahoma"/>
          <w:sz w:val="20"/>
          <w:szCs w:val="20"/>
        </w:rPr>
        <w:t xml:space="preserve">Charakteristické pro právní systém kontinentální je skutečnost, že jde o systém </w:t>
      </w:r>
      <w:r w:rsidRPr="007B10DA">
        <w:rPr>
          <w:rFonts w:cs="Tahoma"/>
          <w:bCs/>
          <w:sz w:val="20"/>
          <w:szCs w:val="20"/>
        </w:rPr>
        <w:t>práva psaného</w:t>
      </w:r>
      <w:r w:rsidRPr="007B10DA">
        <w:rPr>
          <w:rFonts w:cs="Tahoma"/>
          <w:sz w:val="20"/>
          <w:szCs w:val="20"/>
        </w:rPr>
        <w:t xml:space="preserve">. Ve vztahu, k němuž jsou další prameny práva pouze prameny </w:t>
      </w:r>
      <w:r w:rsidRPr="007B10DA">
        <w:rPr>
          <w:rFonts w:cs="Tahoma"/>
          <w:bCs/>
          <w:sz w:val="20"/>
          <w:szCs w:val="20"/>
        </w:rPr>
        <w:t>subsidiárními</w:t>
      </w:r>
      <w:r w:rsidRPr="007B10DA">
        <w:rPr>
          <w:rFonts w:cs="Tahoma"/>
          <w:sz w:val="20"/>
          <w:szCs w:val="20"/>
        </w:rPr>
        <w:t xml:space="preserve">, který ve své podobě </w:t>
      </w:r>
      <w:r w:rsidRPr="007B10DA">
        <w:rPr>
          <w:rFonts w:cs="Tahoma"/>
          <w:bCs/>
          <w:sz w:val="20"/>
          <w:szCs w:val="20"/>
        </w:rPr>
        <w:t xml:space="preserve">vylučuje soudcovskou tvorbu práva. </w:t>
      </w:r>
      <w:r w:rsidRPr="007B10DA">
        <w:rPr>
          <w:rFonts w:cs="Tahoma"/>
          <w:sz w:val="20"/>
          <w:szCs w:val="20"/>
        </w:rPr>
        <w:t xml:space="preserve">Není zde zpochybňován význam </w:t>
      </w:r>
      <w:r w:rsidRPr="007B10DA">
        <w:rPr>
          <w:rFonts w:cs="Tahoma"/>
          <w:bCs/>
          <w:sz w:val="20"/>
          <w:szCs w:val="20"/>
        </w:rPr>
        <w:t>rozhodování vyšších soudů.</w:t>
      </w:r>
    </w:p>
    <w:p w:rsidR="005E55DB" w:rsidRPr="007B10DA" w:rsidRDefault="005E55DB" w:rsidP="007B10DA">
      <w:pPr>
        <w:jc w:val="both"/>
        <w:rPr>
          <w:rFonts w:cs="Tahoma"/>
          <w:bCs/>
          <w:sz w:val="20"/>
          <w:szCs w:val="20"/>
        </w:rPr>
      </w:pPr>
    </w:p>
    <w:p w:rsidR="007B10DA" w:rsidRPr="007B10DA" w:rsidRDefault="007B10DA" w:rsidP="007B10DA">
      <w:pPr>
        <w:rPr>
          <w:rFonts w:cs="Tahoma"/>
          <w:bCs/>
          <w:sz w:val="20"/>
          <w:szCs w:val="20"/>
        </w:rPr>
      </w:pPr>
      <w:r w:rsidRPr="007B10DA">
        <w:rPr>
          <w:rFonts w:cs="Tahoma"/>
          <w:bCs/>
          <w:sz w:val="20"/>
          <w:szCs w:val="20"/>
        </w:rPr>
        <w:t>a)</w:t>
      </w:r>
      <w:r w:rsidRPr="007B10DA">
        <w:rPr>
          <w:rFonts w:cs="Tahoma"/>
          <w:bCs/>
          <w:sz w:val="20"/>
          <w:szCs w:val="20"/>
        </w:rPr>
        <w:tab/>
        <w:t>právo francouzské</w:t>
      </w:r>
    </w:p>
    <w:p w:rsidR="007B10DA" w:rsidRPr="007B10DA" w:rsidRDefault="007B10DA" w:rsidP="007B10DA">
      <w:pPr>
        <w:rPr>
          <w:rFonts w:cs="Tahoma"/>
          <w:bCs/>
          <w:sz w:val="20"/>
          <w:szCs w:val="20"/>
        </w:rPr>
      </w:pPr>
      <w:r w:rsidRPr="007B10DA">
        <w:rPr>
          <w:rFonts w:cs="Tahoma"/>
          <w:bCs/>
          <w:sz w:val="20"/>
          <w:szCs w:val="20"/>
        </w:rPr>
        <w:t>b)</w:t>
      </w:r>
      <w:r w:rsidRPr="007B10DA">
        <w:rPr>
          <w:rFonts w:cs="Tahoma"/>
          <w:bCs/>
          <w:sz w:val="20"/>
          <w:szCs w:val="20"/>
        </w:rPr>
        <w:tab/>
        <w:t>právo německé</w:t>
      </w:r>
    </w:p>
    <w:p w:rsidR="007B10DA" w:rsidRPr="007B10DA" w:rsidRDefault="007B10DA" w:rsidP="007B10DA">
      <w:pPr>
        <w:rPr>
          <w:rFonts w:cs="Tahoma"/>
          <w:bCs/>
          <w:sz w:val="20"/>
          <w:szCs w:val="20"/>
        </w:rPr>
      </w:pPr>
      <w:r w:rsidRPr="007B10DA">
        <w:rPr>
          <w:rFonts w:cs="Tahoma"/>
          <w:bCs/>
          <w:sz w:val="20"/>
          <w:szCs w:val="20"/>
        </w:rPr>
        <w:t>c)</w:t>
      </w:r>
      <w:r w:rsidRPr="007B10DA">
        <w:rPr>
          <w:rFonts w:cs="Tahoma"/>
          <w:bCs/>
          <w:sz w:val="20"/>
          <w:szCs w:val="20"/>
        </w:rPr>
        <w:tab/>
        <w:t>právo švýcarské</w:t>
      </w:r>
    </w:p>
    <w:p w:rsidR="007B10DA" w:rsidRPr="007B10DA" w:rsidRDefault="007B10DA" w:rsidP="007B10DA">
      <w:pPr>
        <w:rPr>
          <w:rFonts w:cs="Tahoma"/>
          <w:bCs/>
          <w:sz w:val="20"/>
          <w:szCs w:val="20"/>
        </w:rPr>
      </w:pPr>
      <w:r w:rsidRPr="007B10DA">
        <w:rPr>
          <w:rFonts w:cs="Tahoma"/>
          <w:bCs/>
          <w:sz w:val="20"/>
          <w:szCs w:val="20"/>
        </w:rPr>
        <w:t>d)</w:t>
      </w:r>
      <w:r w:rsidRPr="007B10DA">
        <w:rPr>
          <w:rFonts w:cs="Tahoma"/>
          <w:bCs/>
          <w:sz w:val="20"/>
          <w:szCs w:val="20"/>
        </w:rPr>
        <w:tab/>
        <w:t>právo skandinávských zemí</w:t>
      </w:r>
    </w:p>
    <w:p w:rsidR="007B10DA" w:rsidRPr="007B10DA" w:rsidRDefault="007B10DA">
      <w:pPr>
        <w:rPr>
          <w:rFonts w:cs="Tahoma"/>
          <w:b/>
          <w:sz w:val="20"/>
          <w:szCs w:val="20"/>
        </w:rPr>
      </w:pPr>
    </w:p>
    <w:sectPr w:rsidR="007B10DA" w:rsidRPr="007B10DA">
      <w:footerReference w:type="even" r:id="rId7"/>
      <w:footerReference w:type="default" r:id="rId8"/>
      <w:pgSz w:w="11906" w:h="16838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914" w:rsidRDefault="003D6914">
      <w:r>
        <w:separator/>
      </w:r>
    </w:p>
  </w:endnote>
  <w:endnote w:type="continuationSeparator" w:id="0">
    <w:p w:rsidR="003D6914" w:rsidRDefault="003D69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5DB" w:rsidRDefault="005E55DB" w:rsidP="001525D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E55DB" w:rsidRDefault="005E55DB" w:rsidP="00D45C0D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5DB" w:rsidRDefault="005E55DB" w:rsidP="001525D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24D99">
      <w:rPr>
        <w:rStyle w:val="slostrnky"/>
        <w:noProof/>
      </w:rPr>
      <w:t>1</w:t>
    </w:r>
    <w:r>
      <w:rPr>
        <w:rStyle w:val="slostrnky"/>
      </w:rPr>
      <w:fldChar w:fldCharType="end"/>
    </w:r>
  </w:p>
  <w:p w:rsidR="005E55DB" w:rsidRDefault="005E55DB" w:rsidP="00D45C0D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914" w:rsidRDefault="003D6914">
      <w:r>
        <w:separator/>
      </w:r>
    </w:p>
  </w:footnote>
  <w:footnote w:type="continuationSeparator" w:id="0">
    <w:p w:rsidR="003D6914" w:rsidRDefault="003D69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3F22"/>
    <w:multiLevelType w:val="hybridMultilevel"/>
    <w:tmpl w:val="9DFC76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291C58"/>
    <w:multiLevelType w:val="hybridMultilevel"/>
    <w:tmpl w:val="21D0B47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5C45348"/>
    <w:multiLevelType w:val="hybridMultilevel"/>
    <w:tmpl w:val="57720EC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851399F"/>
    <w:multiLevelType w:val="hybridMultilevel"/>
    <w:tmpl w:val="B484C2A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0F37602"/>
    <w:multiLevelType w:val="hybridMultilevel"/>
    <w:tmpl w:val="DC985B7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3A66FFE"/>
    <w:multiLevelType w:val="hybridMultilevel"/>
    <w:tmpl w:val="86586342"/>
    <w:lvl w:ilvl="0" w:tplc="5CF460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6061D7C"/>
    <w:multiLevelType w:val="multilevel"/>
    <w:tmpl w:val="BB4CD0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9970A4"/>
    <w:multiLevelType w:val="hybridMultilevel"/>
    <w:tmpl w:val="4C445F5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90466BD"/>
    <w:multiLevelType w:val="hybridMultilevel"/>
    <w:tmpl w:val="C8E81FAE"/>
    <w:lvl w:ilvl="0" w:tplc="024C99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E30AAE"/>
    <w:multiLevelType w:val="multilevel"/>
    <w:tmpl w:val="EE5A96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CC4FE6"/>
    <w:multiLevelType w:val="hybridMultilevel"/>
    <w:tmpl w:val="FD6820F0"/>
    <w:lvl w:ilvl="0" w:tplc="9B70A386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1E1E5E"/>
    <w:multiLevelType w:val="hybridMultilevel"/>
    <w:tmpl w:val="7D00DD3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453157C"/>
    <w:multiLevelType w:val="hybridMultilevel"/>
    <w:tmpl w:val="FA5C1E4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C1541E5"/>
    <w:multiLevelType w:val="hybridMultilevel"/>
    <w:tmpl w:val="5C3AB0B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FCD4B1A"/>
    <w:multiLevelType w:val="hybridMultilevel"/>
    <w:tmpl w:val="C9F8B28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8010D5A"/>
    <w:multiLevelType w:val="multilevel"/>
    <w:tmpl w:val="BD5268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161286"/>
    <w:multiLevelType w:val="hybridMultilevel"/>
    <w:tmpl w:val="7FEE5DE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C4835D9"/>
    <w:multiLevelType w:val="hybridMultilevel"/>
    <w:tmpl w:val="E22C347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1CF4A79"/>
    <w:multiLevelType w:val="hybridMultilevel"/>
    <w:tmpl w:val="20105FA0"/>
    <w:lvl w:ilvl="0" w:tplc="2642FAE0">
      <w:start w:val="19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777265"/>
    <w:multiLevelType w:val="multilevel"/>
    <w:tmpl w:val="BC1AE6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0E1E3B"/>
    <w:multiLevelType w:val="hybridMultilevel"/>
    <w:tmpl w:val="D684398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FFA31C2"/>
    <w:multiLevelType w:val="hybridMultilevel"/>
    <w:tmpl w:val="5F0CC80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3545ACF"/>
    <w:multiLevelType w:val="hybridMultilevel"/>
    <w:tmpl w:val="0B760DC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4793EB5"/>
    <w:multiLevelType w:val="hybridMultilevel"/>
    <w:tmpl w:val="A98E460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7852C87"/>
    <w:multiLevelType w:val="hybridMultilevel"/>
    <w:tmpl w:val="D6B8D1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031F26"/>
    <w:multiLevelType w:val="hybridMultilevel"/>
    <w:tmpl w:val="34C280F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7481388A"/>
    <w:multiLevelType w:val="hybridMultilevel"/>
    <w:tmpl w:val="96EE9A4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7D16652"/>
    <w:multiLevelType w:val="hybridMultilevel"/>
    <w:tmpl w:val="43929D6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8D267DE"/>
    <w:multiLevelType w:val="hybridMultilevel"/>
    <w:tmpl w:val="EECC98A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8F93C31"/>
    <w:multiLevelType w:val="hybridMultilevel"/>
    <w:tmpl w:val="BB2E781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9"/>
  </w:num>
  <w:num w:numId="4">
    <w:abstractNumId w:val="15"/>
  </w:num>
  <w:num w:numId="5">
    <w:abstractNumId w:val="9"/>
  </w:num>
  <w:num w:numId="6">
    <w:abstractNumId w:val="6"/>
  </w:num>
  <w:num w:numId="7">
    <w:abstractNumId w:val="10"/>
  </w:num>
  <w:num w:numId="8">
    <w:abstractNumId w:val="5"/>
  </w:num>
  <w:num w:numId="9">
    <w:abstractNumId w:val="11"/>
  </w:num>
  <w:num w:numId="10">
    <w:abstractNumId w:val="13"/>
  </w:num>
  <w:num w:numId="11">
    <w:abstractNumId w:val="26"/>
  </w:num>
  <w:num w:numId="12">
    <w:abstractNumId w:val="0"/>
  </w:num>
  <w:num w:numId="13">
    <w:abstractNumId w:val="22"/>
  </w:num>
  <w:num w:numId="14">
    <w:abstractNumId w:val="20"/>
  </w:num>
  <w:num w:numId="15">
    <w:abstractNumId w:val="4"/>
  </w:num>
  <w:num w:numId="16">
    <w:abstractNumId w:val="25"/>
  </w:num>
  <w:num w:numId="17">
    <w:abstractNumId w:val="29"/>
  </w:num>
  <w:num w:numId="18">
    <w:abstractNumId w:val="7"/>
  </w:num>
  <w:num w:numId="19">
    <w:abstractNumId w:val="21"/>
  </w:num>
  <w:num w:numId="20">
    <w:abstractNumId w:val="23"/>
  </w:num>
  <w:num w:numId="21">
    <w:abstractNumId w:val="2"/>
  </w:num>
  <w:num w:numId="22">
    <w:abstractNumId w:val="3"/>
  </w:num>
  <w:num w:numId="23">
    <w:abstractNumId w:val="1"/>
  </w:num>
  <w:num w:numId="24">
    <w:abstractNumId w:val="12"/>
  </w:num>
  <w:num w:numId="25">
    <w:abstractNumId w:val="27"/>
  </w:num>
  <w:num w:numId="26">
    <w:abstractNumId w:val="28"/>
  </w:num>
  <w:num w:numId="27">
    <w:abstractNumId w:val="24"/>
  </w:num>
  <w:num w:numId="28">
    <w:abstractNumId w:val="16"/>
  </w:num>
  <w:num w:numId="29">
    <w:abstractNumId w:val="17"/>
  </w:num>
  <w:num w:numId="3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744C"/>
    <w:rsid w:val="000171A9"/>
    <w:rsid w:val="0004601B"/>
    <w:rsid w:val="00056476"/>
    <w:rsid w:val="000647BE"/>
    <w:rsid w:val="00070EF2"/>
    <w:rsid w:val="0008276A"/>
    <w:rsid w:val="000A0D40"/>
    <w:rsid w:val="000F4931"/>
    <w:rsid w:val="0011458C"/>
    <w:rsid w:val="00124BBF"/>
    <w:rsid w:val="001525D7"/>
    <w:rsid w:val="00197EC6"/>
    <w:rsid w:val="001A56DB"/>
    <w:rsid w:val="001B3643"/>
    <w:rsid w:val="001C43C4"/>
    <w:rsid w:val="001F75DE"/>
    <w:rsid w:val="00227222"/>
    <w:rsid w:val="0025636B"/>
    <w:rsid w:val="00261473"/>
    <w:rsid w:val="00275E4D"/>
    <w:rsid w:val="00277461"/>
    <w:rsid w:val="002809F0"/>
    <w:rsid w:val="00294AA0"/>
    <w:rsid w:val="002D766F"/>
    <w:rsid w:val="0032232B"/>
    <w:rsid w:val="00341A4B"/>
    <w:rsid w:val="00350388"/>
    <w:rsid w:val="0037518B"/>
    <w:rsid w:val="003D6865"/>
    <w:rsid w:val="003D6914"/>
    <w:rsid w:val="00474208"/>
    <w:rsid w:val="005207EB"/>
    <w:rsid w:val="00586F36"/>
    <w:rsid w:val="005970E0"/>
    <w:rsid w:val="005A6F39"/>
    <w:rsid w:val="005E55DB"/>
    <w:rsid w:val="00624D99"/>
    <w:rsid w:val="00641456"/>
    <w:rsid w:val="006E5FDD"/>
    <w:rsid w:val="006E615D"/>
    <w:rsid w:val="0071378C"/>
    <w:rsid w:val="007279CD"/>
    <w:rsid w:val="0076528D"/>
    <w:rsid w:val="0077744C"/>
    <w:rsid w:val="007B10DA"/>
    <w:rsid w:val="00817596"/>
    <w:rsid w:val="008B091A"/>
    <w:rsid w:val="009273E4"/>
    <w:rsid w:val="00944EC7"/>
    <w:rsid w:val="00947330"/>
    <w:rsid w:val="0099550B"/>
    <w:rsid w:val="009A2B58"/>
    <w:rsid w:val="009C5B1D"/>
    <w:rsid w:val="009F1679"/>
    <w:rsid w:val="009F635D"/>
    <w:rsid w:val="00A32E15"/>
    <w:rsid w:val="00A412DD"/>
    <w:rsid w:val="00A83E17"/>
    <w:rsid w:val="00AD1853"/>
    <w:rsid w:val="00B17B17"/>
    <w:rsid w:val="00B4207D"/>
    <w:rsid w:val="00BE4853"/>
    <w:rsid w:val="00C463DB"/>
    <w:rsid w:val="00C54890"/>
    <w:rsid w:val="00CA0A82"/>
    <w:rsid w:val="00CC13CC"/>
    <w:rsid w:val="00CF2080"/>
    <w:rsid w:val="00D00E8E"/>
    <w:rsid w:val="00D25D77"/>
    <w:rsid w:val="00D26504"/>
    <w:rsid w:val="00D351D6"/>
    <w:rsid w:val="00D45C0D"/>
    <w:rsid w:val="00D477B3"/>
    <w:rsid w:val="00D564C4"/>
    <w:rsid w:val="00D575AA"/>
    <w:rsid w:val="00D92CF1"/>
    <w:rsid w:val="00DC09A4"/>
    <w:rsid w:val="00DE2C11"/>
    <w:rsid w:val="00DE51F9"/>
    <w:rsid w:val="00E22DF1"/>
    <w:rsid w:val="00E2607B"/>
    <w:rsid w:val="00E330B8"/>
    <w:rsid w:val="00E96CB5"/>
    <w:rsid w:val="00ED6973"/>
    <w:rsid w:val="00F065C7"/>
    <w:rsid w:val="00F13DE5"/>
    <w:rsid w:val="00F35295"/>
    <w:rsid w:val="00FF3ACD"/>
    <w:rsid w:val="00FF5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Tahoma" w:hAnsi="Tahoma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12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567"/>
      </w:tabs>
      <w:spacing w:before="60" w:after="60"/>
      <w:outlineLvl w:val="1"/>
    </w:pPr>
    <w:rPr>
      <w:rFonts w:ascii="Arial" w:hAnsi="Arial"/>
      <w:b/>
      <w:sz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Import15">
    <w:name w:val="Import 15"/>
    <w:basedOn w:val="Normln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firstLine="864"/>
    </w:pPr>
    <w:rPr>
      <w:rFonts w:ascii="Courier New" w:hAnsi="Courier New"/>
      <w:b/>
      <w:szCs w:val="20"/>
    </w:rPr>
  </w:style>
  <w:style w:type="paragraph" w:styleId="Zkladntext">
    <w:name w:val="Body Text"/>
    <w:basedOn w:val="Normln"/>
    <w:rsid w:val="007B10DA"/>
    <w:pPr>
      <w:jc w:val="both"/>
    </w:pPr>
    <w:rPr>
      <w:rFonts w:ascii="Times New Roman" w:hAnsi="Times New Roman"/>
      <w:color w:val="FF0000"/>
    </w:rPr>
  </w:style>
  <w:style w:type="paragraph" w:styleId="Normlnweb">
    <w:name w:val="Normal (Web)"/>
    <w:basedOn w:val="Normln"/>
    <w:rsid w:val="007B10DA"/>
    <w:pPr>
      <w:spacing w:before="100" w:beforeAutospacing="1" w:after="100" w:afterAutospacing="1"/>
    </w:pPr>
    <w:rPr>
      <w:rFonts w:ascii="Times New Roman" w:hAnsi="Times New Roman"/>
    </w:rPr>
  </w:style>
  <w:style w:type="character" w:styleId="Siln">
    <w:name w:val="Strong"/>
    <w:basedOn w:val="Standardnpsmoodstavce"/>
    <w:qFormat/>
    <w:rsid w:val="007B10DA"/>
    <w:rPr>
      <w:b/>
      <w:bCs/>
    </w:rPr>
  </w:style>
  <w:style w:type="paragraph" w:customStyle="1" w:styleId="Import0">
    <w:name w:val="Import 0"/>
    <w:basedOn w:val="Normln"/>
    <w:rsid w:val="007B10DA"/>
    <w:pPr>
      <w:widowControl w:val="0"/>
    </w:pPr>
    <w:rPr>
      <w:rFonts w:ascii="Times New Roman" w:hAnsi="Times New Roman"/>
      <w:szCs w:val="20"/>
    </w:rPr>
  </w:style>
  <w:style w:type="paragraph" w:customStyle="1" w:styleId="Import1">
    <w:name w:val="Import 1"/>
    <w:basedOn w:val="Import0"/>
    <w:rsid w:val="007B10DA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</w:pPr>
    <w:rPr>
      <w:rFonts w:ascii="Courier New" w:hAnsi="Courier New"/>
    </w:rPr>
  </w:style>
  <w:style w:type="paragraph" w:customStyle="1" w:styleId="Import2">
    <w:name w:val="Import 2"/>
    <w:basedOn w:val="Import0"/>
    <w:rsid w:val="007B10DA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firstLine="576"/>
    </w:pPr>
    <w:rPr>
      <w:rFonts w:ascii="Courier New" w:hAnsi="Courier New"/>
    </w:rPr>
  </w:style>
  <w:style w:type="paragraph" w:customStyle="1" w:styleId="Import21">
    <w:name w:val="Import 21"/>
    <w:basedOn w:val="Import0"/>
    <w:rsid w:val="007B10DA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hanging="2592"/>
    </w:pPr>
    <w:rPr>
      <w:rFonts w:ascii="Courier New" w:hAnsi="Courier New"/>
      <w:b/>
    </w:rPr>
  </w:style>
  <w:style w:type="paragraph" w:customStyle="1" w:styleId="Import25">
    <w:name w:val="Import 25"/>
    <w:basedOn w:val="Import0"/>
    <w:rsid w:val="007B10DA"/>
    <w:pPr>
      <w:tabs>
        <w:tab w:val="left" w:pos="5328"/>
      </w:tabs>
      <w:ind w:hanging="288"/>
    </w:pPr>
    <w:rPr>
      <w:rFonts w:ascii="Courier New" w:hAnsi="Courier New"/>
    </w:rPr>
  </w:style>
  <w:style w:type="paragraph" w:customStyle="1" w:styleId="Import68">
    <w:name w:val="Import 68"/>
    <w:basedOn w:val="Import0"/>
    <w:rsid w:val="007B10DA"/>
    <w:pPr>
      <w:widowControl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30" w:lineRule="auto"/>
      <w:ind w:left="144"/>
    </w:pPr>
    <w:rPr>
      <w:rFonts w:ascii="Courier New" w:hAnsi="Courier New"/>
    </w:rPr>
  </w:style>
  <w:style w:type="paragraph" w:customStyle="1" w:styleId="Import16">
    <w:name w:val="Import 16"/>
    <w:basedOn w:val="Normln"/>
    <w:rsid w:val="007B10DA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</w:pPr>
    <w:rPr>
      <w:rFonts w:ascii="Courier New" w:hAnsi="Courier New"/>
      <w:b/>
      <w:szCs w:val="20"/>
    </w:rPr>
  </w:style>
  <w:style w:type="paragraph" w:customStyle="1" w:styleId="Import26">
    <w:name w:val="Import 26"/>
    <w:basedOn w:val="Import0"/>
    <w:rsid w:val="007B10DA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hanging="2880"/>
    </w:pPr>
    <w:rPr>
      <w:rFonts w:ascii="Courier New" w:hAnsi="Courier New"/>
      <w:b/>
    </w:rPr>
  </w:style>
  <w:style w:type="paragraph" w:customStyle="1" w:styleId="Import22">
    <w:name w:val="Import 22"/>
    <w:basedOn w:val="Import0"/>
    <w:rsid w:val="007B10DA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hanging="3168"/>
    </w:pPr>
    <w:rPr>
      <w:rFonts w:ascii="Courier New" w:hAnsi="Courier New"/>
    </w:rPr>
  </w:style>
  <w:style w:type="paragraph" w:customStyle="1" w:styleId="Import23">
    <w:name w:val="Import 23"/>
    <w:basedOn w:val="Import0"/>
    <w:rsid w:val="007B10DA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hanging="2880"/>
    </w:pPr>
    <w:rPr>
      <w:rFonts w:ascii="Courier New" w:hAnsi="Courier New"/>
    </w:rPr>
  </w:style>
  <w:style w:type="paragraph" w:styleId="Seznam">
    <w:name w:val="List"/>
    <w:basedOn w:val="Normln"/>
    <w:rsid w:val="007B10DA"/>
    <w:pPr>
      <w:autoSpaceDE w:val="0"/>
      <w:autoSpaceDN w:val="0"/>
      <w:ind w:left="283" w:hanging="283"/>
    </w:pPr>
    <w:rPr>
      <w:rFonts w:ascii="Times New Roman" w:hAnsi="Times New Roman"/>
      <w:sz w:val="20"/>
      <w:szCs w:val="20"/>
    </w:rPr>
  </w:style>
  <w:style w:type="paragraph" w:styleId="Pokraovnseznamu">
    <w:name w:val="List Continue"/>
    <w:basedOn w:val="Normln"/>
    <w:rsid w:val="007B10DA"/>
    <w:pPr>
      <w:autoSpaceDE w:val="0"/>
      <w:autoSpaceDN w:val="0"/>
      <w:spacing w:after="120"/>
      <w:ind w:left="283"/>
    </w:pPr>
    <w:rPr>
      <w:rFonts w:ascii="Times New Roman" w:hAnsi="Times New Roman"/>
      <w:sz w:val="20"/>
      <w:szCs w:val="20"/>
    </w:rPr>
  </w:style>
  <w:style w:type="paragraph" w:styleId="Rozvrendokumentu">
    <w:name w:val="Document Map"/>
    <w:basedOn w:val="Normln"/>
    <w:semiHidden/>
    <w:rsid w:val="007B10DA"/>
    <w:pPr>
      <w:shd w:val="clear" w:color="auto" w:fill="000080"/>
    </w:pPr>
    <w:rPr>
      <w:rFonts w:cs="Tahoma"/>
      <w:sz w:val="20"/>
      <w:szCs w:val="20"/>
    </w:rPr>
  </w:style>
  <w:style w:type="paragraph" w:styleId="Zpat">
    <w:name w:val="footer"/>
    <w:basedOn w:val="Normln"/>
    <w:rsid w:val="00D45C0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45C0D"/>
  </w:style>
  <w:style w:type="paragraph" w:customStyle="1" w:styleId="Import18">
    <w:name w:val="Import 18"/>
    <w:basedOn w:val="Import0"/>
    <w:rsid w:val="00056476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hanging="2016"/>
    </w:pPr>
    <w:rPr>
      <w:rFonts w:ascii="Courier New" w:hAnsi="Courier New"/>
      <w:b/>
    </w:rPr>
  </w:style>
  <w:style w:type="character" w:styleId="Odkaznakoment">
    <w:name w:val="annotation reference"/>
    <w:basedOn w:val="Standardnpsmoodstavce"/>
    <w:semiHidden/>
    <w:rsid w:val="00124BBF"/>
    <w:rPr>
      <w:sz w:val="16"/>
      <w:szCs w:val="16"/>
    </w:rPr>
  </w:style>
  <w:style w:type="paragraph" w:styleId="Textkomente">
    <w:name w:val="annotation text"/>
    <w:basedOn w:val="Normln"/>
    <w:semiHidden/>
    <w:rsid w:val="00124BB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24BBF"/>
    <w:rPr>
      <w:b/>
      <w:bCs/>
    </w:rPr>
  </w:style>
  <w:style w:type="paragraph" w:styleId="Textbubliny">
    <w:name w:val="Balloon Text"/>
    <w:basedOn w:val="Normln"/>
    <w:semiHidden/>
    <w:rsid w:val="00124BBF"/>
    <w:rPr>
      <w:rFonts w:cs="Tahoma"/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0171A9"/>
    <w:pPr>
      <w:spacing w:before="360"/>
    </w:pPr>
    <w:rPr>
      <w:rFonts w:ascii="Arial" w:hAnsi="Arial" w:cs="Arial"/>
      <w:b/>
      <w:bCs/>
      <w:caps/>
    </w:rPr>
  </w:style>
  <w:style w:type="paragraph" w:styleId="Obsah2">
    <w:name w:val="toc 2"/>
    <w:basedOn w:val="Normln"/>
    <w:next w:val="Normln"/>
    <w:autoRedefine/>
    <w:semiHidden/>
    <w:rsid w:val="000171A9"/>
    <w:pPr>
      <w:spacing w:before="240"/>
    </w:pPr>
    <w:rPr>
      <w:rFonts w:ascii="Times New Roman" w:hAnsi="Times New Roman"/>
      <w:b/>
      <w:bC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0171A9"/>
    <w:pPr>
      <w:ind w:left="240"/>
    </w:pPr>
    <w:rPr>
      <w:rFonts w:ascii="Times New Roman" w:hAnsi="Times New Roman"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0171A9"/>
    <w:pPr>
      <w:ind w:left="480"/>
    </w:pPr>
    <w:rPr>
      <w:rFonts w:ascii="Times New Roman" w:hAnsi="Times New Roman"/>
      <w:sz w:val="20"/>
      <w:szCs w:val="20"/>
    </w:rPr>
  </w:style>
  <w:style w:type="paragraph" w:styleId="Obsah5">
    <w:name w:val="toc 5"/>
    <w:basedOn w:val="Normln"/>
    <w:next w:val="Normln"/>
    <w:autoRedefine/>
    <w:semiHidden/>
    <w:rsid w:val="000171A9"/>
    <w:pPr>
      <w:ind w:left="720"/>
    </w:pPr>
    <w:rPr>
      <w:rFonts w:ascii="Times New Roman" w:hAnsi="Times New Roman"/>
      <w:sz w:val="20"/>
      <w:szCs w:val="20"/>
    </w:rPr>
  </w:style>
  <w:style w:type="paragraph" w:styleId="Obsah6">
    <w:name w:val="toc 6"/>
    <w:basedOn w:val="Normln"/>
    <w:next w:val="Normln"/>
    <w:autoRedefine/>
    <w:semiHidden/>
    <w:rsid w:val="000171A9"/>
    <w:pPr>
      <w:ind w:left="960"/>
    </w:pPr>
    <w:rPr>
      <w:rFonts w:ascii="Times New Roman" w:hAnsi="Times New Roman"/>
      <w:sz w:val="20"/>
      <w:szCs w:val="20"/>
    </w:rPr>
  </w:style>
  <w:style w:type="paragraph" w:styleId="Obsah7">
    <w:name w:val="toc 7"/>
    <w:basedOn w:val="Normln"/>
    <w:next w:val="Normln"/>
    <w:autoRedefine/>
    <w:semiHidden/>
    <w:rsid w:val="000171A9"/>
    <w:pPr>
      <w:ind w:left="1200"/>
    </w:pPr>
    <w:rPr>
      <w:rFonts w:ascii="Times New Roman" w:hAnsi="Times New Roman"/>
      <w:sz w:val="20"/>
      <w:szCs w:val="20"/>
    </w:rPr>
  </w:style>
  <w:style w:type="paragraph" w:styleId="Obsah8">
    <w:name w:val="toc 8"/>
    <w:basedOn w:val="Normln"/>
    <w:next w:val="Normln"/>
    <w:autoRedefine/>
    <w:semiHidden/>
    <w:rsid w:val="000171A9"/>
    <w:pPr>
      <w:ind w:left="1440"/>
    </w:pPr>
    <w:rPr>
      <w:rFonts w:ascii="Times New Roman" w:hAnsi="Times New Roman"/>
      <w:sz w:val="20"/>
      <w:szCs w:val="20"/>
    </w:rPr>
  </w:style>
  <w:style w:type="paragraph" w:styleId="Obsah9">
    <w:name w:val="toc 9"/>
    <w:basedOn w:val="Normln"/>
    <w:next w:val="Normln"/>
    <w:autoRedefine/>
    <w:semiHidden/>
    <w:rsid w:val="000171A9"/>
    <w:pPr>
      <w:ind w:left="1680"/>
    </w:pPr>
    <w:rPr>
      <w:rFonts w:ascii="Times New Roman" w:hAnsi="Times New Roman"/>
      <w:sz w:val="20"/>
      <w:szCs w:val="20"/>
    </w:rPr>
  </w:style>
  <w:style w:type="character" w:styleId="Hypertextovodkaz">
    <w:name w:val="Hyperlink"/>
    <w:basedOn w:val="Standardnpsmoodstavce"/>
    <w:rsid w:val="000171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6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1052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1a) struktura ústavy ČR</vt:lpstr>
    </vt:vector>
  </TitlesOfParts>
  <Company>UZSVM</Company>
  <LinksUpToDate>false</LinksUpToDate>
  <CharactersWithSpaces>7248</CharactersWithSpaces>
  <SharedDoc>false</SharedDoc>
  <HLinks>
    <vt:vector size="36" baseType="variant">
      <vt:variant>
        <vt:i4>2031671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_Toc155653688</vt:lpwstr>
      </vt:variant>
      <vt:variant>
        <vt:i4>2031671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_Toc155653687</vt:lpwstr>
      </vt:variant>
      <vt:variant>
        <vt:i4>2031671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_Toc155653686</vt:lpwstr>
      </vt:variant>
      <vt:variant>
        <vt:i4>2031671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_Toc155653685</vt:lpwstr>
      </vt:variant>
      <vt:variant>
        <vt:i4>2031671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_Toc155653684</vt:lpwstr>
      </vt:variant>
      <vt:variant>
        <vt:i4>2031671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_Toc155653683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1a) struktura ústavy ČR</dc:title>
  <dc:subject/>
  <dc:creator>plincnerkĀ</dc:creator>
  <cp:keywords/>
  <dc:description/>
  <cp:lastModifiedBy>Karin Plincnerová</cp:lastModifiedBy>
  <cp:revision>2</cp:revision>
  <cp:lastPrinted>2007-01-03T15:38:00Z</cp:lastPrinted>
  <dcterms:created xsi:type="dcterms:W3CDTF">2012-02-10T05:47:00Z</dcterms:created>
  <dcterms:modified xsi:type="dcterms:W3CDTF">2012-02-10T05:47:00Z</dcterms:modified>
</cp:coreProperties>
</file>